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2E0D89" w14:paraId="474F5F06" w14:textId="77777777">
        <w:tc>
          <w:tcPr>
            <w:tcW w:w="2268" w:type="dxa"/>
          </w:tcPr>
          <w:p w14:paraId="51A41787" w14:textId="77777777" w:rsidR="006E4E11" w:rsidRPr="002E0D89" w:rsidRDefault="006E4E11" w:rsidP="007242A3">
            <w:pPr>
              <w:framePr w:w="5035" w:h="1644" w:wrap="notBeside" w:vAnchor="page" w:hAnchor="page" w:x="6573" w:y="721"/>
              <w:rPr>
                <w:rFonts w:ascii="TradeGothic" w:hAnsi="TradeGothic"/>
                <w:i/>
                <w:sz w:val="18"/>
              </w:rPr>
            </w:pPr>
          </w:p>
        </w:tc>
        <w:tc>
          <w:tcPr>
            <w:tcW w:w="2999" w:type="dxa"/>
            <w:gridSpan w:val="2"/>
          </w:tcPr>
          <w:p w14:paraId="1F27720F" w14:textId="77777777" w:rsidR="006E4E11" w:rsidRPr="002E0D89" w:rsidRDefault="006E4E11" w:rsidP="007242A3">
            <w:pPr>
              <w:framePr w:w="5035" w:h="1644" w:wrap="notBeside" w:vAnchor="page" w:hAnchor="page" w:x="6573" w:y="721"/>
              <w:rPr>
                <w:rFonts w:ascii="TradeGothic" w:hAnsi="TradeGothic"/>
                <w:i/>
                <w:sz w:val="18"/>
              </w:rPr>
            </w:pPr>
          </w:p>
        </w:tc>
      </w:tr>
      <w:tr w:rsidR="006E4E11" w:rsidRPr="002E0D89" w14:paraId="4B02F9E8" w14:textId="77777777">
        <w:tc>
          <w:tcPr>
            <w:tcW w:w="2268" w:type="dxa"/>
          </w:tcPr>
          <w:p w14:paraId="4AFD3E26" w14:textId="77777777" w:rsidR="006E4E11" w:rsidRPr="002E0D89" w:rsidRDefault="002E0D89" w:rsidP="007242A3">
            <w:pPr>
              <w:framePr w:w="5035" w:h="1644" w:wrap="notBeside" w:vAnchor="page" w:hAnchor="page" w:x="6573" w:y="721"/>
              <w:rPr>
                <w:rFonts w:ascii="TradeGothic" w:hAnsi="TradeGothic"/>
                <w:b/>
                <w:sz w:val="22"/>
              </w:rPr>
            </w:pPr>
            <w:r w:rsidRPr="002E0D89">
              <w:rPr>
                <w:rFonts w:ascii="TradeGothic" w:hAnsi="TradeGothic"/>
                <w:b/>
                <w:sz w:val="22"/>
              </w:rPr>
              <w:t xml:space="preserve">Promemoria </w:t>
            </w:r>
          </w:p>
        </w:tc>
        <w:tc>
          <w:tcPr>
            <w:tcW w:w="2999" w:type="dxa"/>
            <w:gridSpan w:val="2"/>
          </w:tcPr>
          <w:p w14:paraId="704610E4" w14:textId="77777777" w:rsidR="006E4E11" w:rsidRPr="002E0D89" w:rsidRDefault="006E4E11" w:rsidP="007242A3">
            <w:pPr>
              <w:framePr w:w="5035" w:h="1644" w:wrap="notBeside" w:vAnchor="page" w:hAnchor="page" w:x="6573" w:y="721"/>
              <w:rPr>
                <w:rFonts w:ascii="TradeGothic" w:hAnsi="TradeGothic"/>
                <w:b/>
                <w:sz w:val="22"/>
              </w:rPr>
            </w:pPr>
          </w:p>
        </w:tc>
      </w:tr>
      <w:tr w:rsidR="006E4E11" w:rsidRPr="002E0D89" w14:paraId="3779AFB7" w14:textId="77777777">
        <w:tc>
          <w:tcPr>
            <w:tcW w:w="3402" w:type="dxa"/>
            <w:gridSpan w:val="2"/>
          </w:tcPr>
          <w:p w14:paraId="4C3A1584" w14:textId="77777777" w:rsidR="006E4E11" w:rsidRPr="002E0D89" w:rsidRDefault="006E4E11" w:rsidP="007242A3">
            <w:pPr>
              <w:framePr w:w="5035" w:h="1644" w:wrap="notBeside" w:vAnchor="page" w:hAnchor="page" w:x="6573" w:y="721"/>
            </w:pPr>
          </w:p>
        </w:tc>
        <w:tc>
          <w:tcPr>
            <w:tcW w:w="1865" w:type="dxa"/>
          </w:tcPr>
          <w:p w14:paraId="6B5859CB" w14:textId="77777777" w:rsidR="006E4E11" w:rsidRPr="002E0D89" w:rsidRDefault="006E4E11" w:rsidP="007242A3">
            <w:pPr>
              <w:framePr w:w="5035" w:h="1644" w:wrap="notBeside" w:vAnchor="page" w:hAnchor="page" w:x="6573" w:y="721"/>
            </w:pPr>
          </w:p>
        </w:tc>
      </w:tr>
      <w:tr w:rsidR="006E4E11" w:rsidRPr="002E0D89" w14:paraId="6E4B3399" w14:textId="77777777">
        <w:tc>
          <w:tcPr>
            <w:tcW w:w="2268" w:type="dxa"/>
          </w:tcPr>
          <w:p w14:paraId="5256D9C5" w14:textId="1E419B7F" w:rsidR="006E4E11" w:rsidRPr="002E0D89" w:rsidRDefault="002C236F" w:rsidP="002C236F">
            <w:pPr>
              <w:framePr w:w="5035" w:h="1644" w:wrap="notBeside" w:vAnchor="page" w:hAnchor="page" w:x="6573" w:y="721"/>
            </w:pPr>
            <w:r>
              <w:t>2016</w:t>
            </w:r>
            <w:r w:rsidR="002E0D89">
              <w:t>-</w:t>
            </w:r>
            <w:r w:rsidR="00535CDB">
              <w:t>02-08</w:t>
            </w:r>
          </w:p>
        </w:tc>
        <w:tc>
          <w:tcPr>
            <w:tcW w:w="2999" w:type="dxa"/>
            <w:gridSpan w:val="2"/>
          </w:tcPr>
          <w:p w14:paraId="68ED2FAF" w14:textId="41EDAA83" w:rsidR="006E4E11" w:rsidRPr="002E0D89" w:rsidRDefault="00535CDB" w:rsidP="007242A3">
            <w:pPr>
              <w:framePr w:w="5035" w:h="1644" w:wrap="notBeside" w:vAnchor="page" w:hAnchor="page" w:x="6573" w:y="721"/>
              <w:rPr>
                <w:sz w:val="20"/>
              </w:rPr>
            </w:pPr>
            <w:r>
              <w:rPr>
                <w:sz w:val="20"/>
              </w:rPr>
              <w:t>M2016/00363/Ee</w:t>
            </w:r>
            <w:bookmarkStart w:id="0" w:name="_GoBack"/>
            <w:bookmarkEnd w:id="0"/>
          </w:p>
        </w:tc>
      </w:tr>
      <w:tr w:rsidR="006E4E11" w:rsidRPr="002E0D89" w14:paraId="197CEF5C" w14:textId="77777777">
        <w:tc>
          <w:tcPr>
            <w:tcW w:w="2268" w:type="dxa"/>
          </w:tcPr>
          <w:p w14:paraId="56076B6B" w14:textId="77777777" w:rsidR="006E4E11" w:rsidRPr="002E0D89" w:rsidRDefault="006E4E11" w:rsidP="007242A3">
            <w:pPr>
              <w:framePr w:w="5035" w:h="1644" w:wrap="notBeside" w:vAnchor="page" w:hAnchor="page" w:x="6573" w:y="721"/>
            </w:pPr>
          </w:p>
        </w:tc>
        <w:tc>
          <w:tcPr>
            <w:tcW w:w="2999" w:type="dxa"/>
            <w:gridSpan w:val="2"/>
          </w:tcPr>
          <w:p w14:paraId="75B0C4DB" w14:textId="77777777" w:rsidR="006E4E11" w:rsidRPr="002E0D8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2E0D89" w14:paraId="757E5CAB" w14:textId="77777777">
        <w:trPr>
          <w:trHeight w:val="284"/>
        </w:trPr>
        <w:tc>
          <w:tcPr>
            <w:tcW w:w="4911" w:type="dxa"/>
          </w:tcPr>
          <w:p w14:paraId="68F7622E" w14:textId="77777777" w:rsidR="006E4E11" w:rsidRPr="002E0D89" w:rsidRDefault="002E0D89">
            <w:pPr>
              <w:pStyle w:val="Avsndare"/>
              <w:framePr w:h="2483" w:wrap="notBeside" w:x="1504"/>
              <w:rPr>
                <w:b/>
                <w:i w:val="0"/>
                <w:sz w:val="22"/>
              </w:rPr>
            </w:pPr>
            <w:r>
              <w:rPr>
                <w:b/>
                <w:i w:val="0"/>
                <w:sz w:val="22"/>
              </w:rPr>
              <w:t>Miljö- och energidepartementet</w:t>
            </w:r>
          </w:p>
        </w:tc>
      </w:tr>
      <w:tr w:rsidR="006E4E11" w:rsidRPr="002E0D89" w14:paraId="60BBECA4" w14:textId="77777777">
        <w:trPr>
          <w:trHeight w:val="284"/>
        </w:trPr>
        <w:tc>
          <w:tcPr>
            <w:tcW w:w="4911" w:type="dxa"/>
          </w:tcPr>
          <w:p w14:paraId="0BB603C9" w14:textId="77777777" w:rsidR="006E4E11" w:rsidRPr="002E0D89" w:rsidRDefault="006E4E11">
            <w:pPr>
              <w:pStyle w:val="Avsndare"/>
              <w:framePr w:h="2483" w:wrap="notBeside" w:x="1504"/>
              <w:rPr>
                <w:bCs/>
                <w:iCs/>
              </w:rPr>
            </w:pPr>
          </w:p>
        </w:tc>
      </w:tr>
      <w:tr w:rsidR="006E4E11" w:rsidRPr="002E0D89" w14:paraId="4D1003FF" w14:textId="77777777">
        <w:trPr>
          <w:trHeight w:val="284"/>
        </w:trPr>
        <w:tc>
          <w:tcPr>
            <w:tcW w:w="4911" w:type="dxa"/>
          </w:tcPr>
          <w:p w14:paraId="24723961" w14:textId="77777777" w:rsidR="006E4E11" w:rsidRPr="002E0D89" w:rsidRDefault="002E0D89">
            <w:pPr>
              <w:pStyle w:val="Avsndare"/>
              <w:framePr w:h="2483" w:wrap="notBeside" w:x="1504"/>
              <w:rPr>
                <w:bCs/>
                <w:iCs/>
              </w:rPr>
            </w:pPr>
            <w:r>
              <w:rPr>
                <w:bCs/>
                <w:iCs/>
              </w:rPr>
              <w:t>Energienheten</w:t>
            </w:r>
          </w:p>
        </w:tc>
      </w:tr>
      <w:tr w:rsidR="006E4E11" w:rsidRPr="002E0D89" w14:paraId="22735DE2" w14:textId="77777777">
        <w:trPr>
          <w:trHeight w:val="284"/>
        </w:trPr>
        <w:tc>
          <w:tcPr>
            <w:tcW w:w="4911" w:type="dxa"/>
          </w:tcPr>
          <w:p w14:paraId="7A762B98" w14:textId="77777777" w:rsidR="006E4E11" w:rsidRPr="002E0D89" w:rsidRDefault="002E0D89">
            <w:pPr>
              <w:pStyle w:val="Avsndare"/>
              <w:framePr w:h="2483" w:wrap="notBeside" w:x="1504"/>
              <w:rPr>
                <w:bCs/>
                <w:iCs/>
              </w:rPr>
            </w:pPr>
            <w:r>
              <w:rPr>
                <w:bCs/>
                <w:iCs/>
              </w:rPr>
              <w:t>Joakim Cejie</w:t>
            </w:r>
          </w:p>
        </w:tc>
      </w:tr>
      <w:tr w:rsidR="006E4E11" w:rsidRPr="002E0D89" w14:paraId="00496C03" w14:textId="77777777">
        <w:trPr>
          <w:trHeight w:val="284"/>
        </w:trPr>
        <w:tc>
          <w:tcPr>
            <w:tcW w:w="4911" w:type="dxa"/>
          </w:tcPr>
          <w:p w14:paraId="3EE55DBA" w14:textId="77777777" w:rsidR="006E4E11" w:rsidRPr="002E0D89" w:rsidRDefault="002E0D89">
            <w:pPr>
              <w:pStyle w:val="Avsndare"/>
              <w:framePr w:h="2483" w:wrap="notBeside" w:x="1504"/>
              <w:rPr>
                <w:bCs/>
                <w:iCs/>
              </w:rPr>
            </w:pPr>
            <w:r>
              <w:rPr>
                <w:bCs/>
                <w:iCs/>
              </w:rPr>
              <w:t>Telefon 08 405 20 26</w:t>
            </w:r>
          </w:p>
        </w:tc>
      </w:tr>
      <w:tr w:rsidR="006E4E11" w:rsidRPr="002E0D89" w14:paraId="61ECC902" w14:textId="77777777">
        <w:trPr>
          <w:trHeight w:val="284"/>
        </w:trPr>
        <w:tc>
          <w:tcPr>
            <w:tcW w:w="4911" w:type="dxa"/>
          </w:tcPr>
          <w:p w14:paraId="1BC14E7D" w14:textId="77777777" w:rsidR="006E4E11" w:rsidRPr="002E0D89" w:rsidRDefault="002E0D89">
            <w:pPr>
              <w:pStyle w:val="Avsndare"/>
              <w:framePr w:h="2483" w:wrap="notBeside" w:x="1504"/>
              <w:rPr>
                <w:bCs/>
                <w:iCs/>
              </w:rPr>
            </w:pPr>
            <w:r>
              <w:rPr>
                <w:bCs/>
                <w:iCs/>
              </w:rPr>
              <w:t>E-post joakim.cejie@regeringskansliet.se</w:t>
            </w:r>
          </w:p>
        </w:tc>
      </w:tr>
      <w:tr w:rsidR="002E0D89" w:rsidRPr="002E0D89" w14:paraId="0DBC6143" w14:textId="77777777">
        <w:trPr>
          <w:trHeight w:val="284"/>
        </w:trPr>
        <w:tc>
          <w:tcPr>
            <w:tcW w:w="4911" w:type="dxa"/>
          </w:tcPr>
          <w:p w14:paraId="53E83169" w14:textId="77777777" w:rsidR="002E0D89" w:rsidRPr="002E0D89" w:rsidRDefault="002E0D89">
            <w:pPr>
              <w:pStyle w:val="Avsndare"/>
              <w:framePr w:h="2483" w:wrap="notBeside" w:x="1504"/>
              <w:rPr>
                <w:bCs/>
                <w:iCs/>
              </w:rPr>
            </w:pPr>
          </w:p>
        </w:tc>
      </w:tr>
    </w:tbl>
    <w:p w14:paraId="0EEC1232" w14:textId="77777777" w:rsidR="006E4E11" w:rsidRPr="002E0D89" w:rsidRDefault="006E4E11">
      <w:pPr>
        <w:framePr w:w="4400" w:h="2523" w:wrap="notBeside" w:vAnchor="page" w:hAnchor="page" w:x="6453" w:y="2445"/>
        <w:ind w:left="142"/>
      </w:pPr>
    </w:p>
    <w:p w14:paraId="1182CD40" w14:textId="77777777" w:rsidR="006E4E11" w:rsidRPr="002E0D89" w:rsidRDefault="002E0D89" w:rsidP="002E0D89">
      <w:pPr>
        <w:pStyle w:val="RKrubrik"/>
        <w:pBdr>
          <w:bottom w:val="single" w:sz="4" w:space="1" w:color="000000"/>
        </w:pBdr>
        <w:spacing w:before="0" w:after="0"/>
      </w:pPr>
      <w:r>
        <w:t>Konsekvensanalys till förordning om effektreserv</w:t>
      </w:r>
    </w:p>
    <w:p w14:paraId="6208D5DB" w14:textId="77777777" w:rsidR="006E4E11" w:rsidRPr="002E0D89" w:rsidRDefault="006E4E11">
      <w:pPr>
        <w:pStyle w:val="RKnormal"/>
      </w:pPr>
    </w:p>
    <w:p w14:paraId="080128F3" w14:textId="77777777" w:rsidR="00431557" w:rsidRDefault="00431557" w:rsidP="00185D34">
      <w:pPr>
        <w:pStyle w:val="Rubrik2"/>
      </w:pPr>
      <w:r>
        <w:t>Syfte</w:t>
      </w:r>
      <w:r w:rsidR="00213305">
        <w:t xml:space="preserve"> </w:t>
      </w:r>
      <w:r w:rsidR="0031522E">
        <w:t xml:space="preserve">med den föreslagna förordningen </w:t>
      </w:r>
    </w:p>
    <w:p w14:paraId="2F8CA574" w14:textId="77777777" w:rsidR="005306A1" w:rsidRDefault="005306A1" w:rsidP="00431557">
      <w:pPr>
        <w:pStyle w:val="RKnormal"/>
      </w:pPr>
      <w:r>
        <w:t>Förordningen ersätter den nuvarande förordningen (</w:t>
      </w:r>
      <w:r w:rsidR="004E7F0D">
        <w:t>2010:2004) om effektreserv.</w:t>
      </w:r>
      <w:r>
        <w:t xml:space="preserve"> I förordningen finns föreskrifter om upphandlingen av effektreserv, bl.a. när det gäller reservens storlek och hur stor del av reserven som ska bestå av s.k. förbrukningsreduktioner. </w:t>
      </w:r>
    </w:p>
    <w:p w14:paraId="41B42F4D" w14:textId="77777777" w:rsidR="005306A1" w:rsidRDefault="005306A1" w:rsidP="00431557">
      <w:pPr>
        <w:pStyle w:val="RKnormal"/>
      </w:pPr>
    </w:p>
    <w:p w14:paraId="388786D9" w14:textId="77777777" w:rsidR="00431557" w:rsidRPr="00431557" w:rsidRDefault="005306A1" w:rsidP="00431557">
      <w:pPr>
        <w:pStyle w:val="RKnormal"/>
      </w:pPr>
      <w:r>
        <w:t xml:space="preserve">Till skillnad från den äldre förordningen innehåller förslaget bestämmelser om </w:t>
      </w:r>
      <w:r w:rsidR="00431557">
        <w:t>hur Affärsverket svenska kra</w:t>
      </w:r>
      <w:r w:rsidR="00FE43AF">
        <w:t xml:space="preserve">ftnät </w:t>
      </w:r>
      <w:r w:rsidR="00F93CBA">
        <w:t xml:space="preserve">(Svenska kraftnät) </w:t>
      </w:r>
      <w:r w:rsidR="00FE43AF">
        <w:t xml:space="preserve">ska </w:t>
      </w:r>
      <w:r w:rsidR="0031522E">
        <w:t xml:space="preserve">verka för att effektreserven ska ha </w:t>
      </w:r>
      <w:r>
        <w:t xml:space="preserve">en </w:t>
      </w:r>
      <w:r w:rsidR="0031522E">
        <w:t xml:space="preserve">bättre miljöprofil än </w:t>
      </w:r>
      <w:r>
        <w:t>i dag.</w:t>
      </w:r>
      <w:r w:rsidR="00FE43AF">
        <w:t xml:space="preserve"> </w:t>
      </w:r>
      <w:r>
        <w:t xml:space="preserve">En utgångspunkt är dock att </w:t>
      </w:r>
      <w:r w:rsidR="00FE43AF">
        <w:t xml:space="preserve">samma krav på funktion </w:t>
      </w:r>
      <w:r w:rsidR="0031522E">
        <w:t xml:space="preserve">ska gälla </w:t>
      </w:r>
      <w:r w:rsidR="00FE43AF">
        <w:t>som tidigare</w:t>
      </w:r>
      <w:r w:rsidR="00431557">
        <w:t>.</w:t>
      </w:r>
    </w:p>
    <w:p w14:paraId="424CFF8F" w14:textId="77777777" w:rsidR="00185D34" w:rsidRDefault="00185D34" w:rsidP="00185D34">
      <w:pPr>
        <w:pStyle w:val="Rubrik2"/>
      </w:pPr>
      <w:r>
        <w:t>Inledning</w:t>
      </w:r>
      <w:r w:rsidR="0077602A">
        <w:t xml:space="preserve"> och bakgrund</w:t>
      </w:r>
    </w:p>
    <w:p w14:paraId="1EF4EACA" w14:textId="77777777" w:rsidR="00213305" w:rsidRDefault="004E7F0D" w:rsidP="00185D34">
      <w:pPr>
        <w:pStyle w:val="RKnormal"/>
      </w:pPr>
      <w:r>
        <w:t xml:space="preserve">Miljö- och energidepartementet </w:t>
      </w:r>
      <w:r w:rsidR="00213305">
        <w:t xml:space="preserve">har tidigare i år remitterat ett förslag om att lagen (2003:436) om effektreserv ska förlängas till och med den 15 mars 2025. </w:t>
      </w:r>
      <w:r w:rsidR="005F2A1B">
        <w:t xml:space="preserve">Regeringskansliet har nu utarbetat ett förslag till </w:t>
      </w:r>
      <w:r>
        <w:t xml:space="preserve">en ny </w:t>
      </w:r>
      <w:r w:rsidR="005F2A1B">
        <w:t>förordning om effektreserv</w:t>
      </w:r>
      <w:r>
        <w:t xml:space="preserve"> som ansluter till lagförslaget</w:t>
      </w:r>
      <w:r w:rsidR="005F2A1B">
        <w:t xml:space="preserve">. </w:t>
      </w:r>
      <w:r>
        <w:t xml:space="preserve">Det väsentliga som nu tillkommer är bestämmelser </w:t>
      </w:r>
      <w:r w:rsidR="00185D34">
        <w:t xml:space="preserve">om miljökrav. </w:t>
      </w:r>
    </w:p>
    <w:p w14:paraId="34E0190E" w14:textId="77777777" w:rsidR="00213305" w:rsidRDefault="00213305" w:rsidP="00185D34">
      <w:pPr>
        <w:pStyle w:val="RKnormal"/>
      </w:pPr>
    </w:p>
    <w:p w14:paraId="142E077A" w14:textId="77777777" w:rsidR="001251B8" w:rsidRDefault="00185D34" w:rsidP="00185D34">
      <w:pPr>
        <w:pStyle w:val="RKnormal"/>
      </w:pPr>
      <w:r>
        <w:t xml:space="preserve">Effektreserven kan bestå av </w:t>
      </w:r>
      <w:r w:rsidR="004E7F0D">
        <w:t xml:space="preserve">produktionskapacitet </w:t>
      </w:r>
      <w:r>
        <w:t>eller avtal om minskad</w:t>
      </w:r>
      <w:r w:rsidR="00CD48CE">
        <w:t xml:space="preserve"> förbrukning</w:t>
      </w:r>
      <w:r w:rsidR="004E7F0D">
        <w:t xml:space="preserve"> (förbrukningsreduktioner)</w:t>
      </w:r>
      <w:r w:rsidR="00CD48CE">
        <w:t>. Dessa två resurser</w:t>
      </w:r>
      <w:r>
        <w:t xml:space="preserve"> är inte perfekta substitut</w:t>
      </w:r>
      <w:r w:rsidR="0077602A">
        <w:t xml:space="preserve"> för driftsäkerheten i </w:t>
      </w:r>
      <w:r w:rsidR="004E7F0D">
        <w:t>det nationella elnätet</w:t>
      </w:r>
      <w:r w:rsidR="0077602A">
        <w:t xml:space="preserve">. Därför </w:t>
      </w:r>
      <w:r>
        <w:t xml:space="preserve">är det inte </w:t>
      </w:r>
      <w:r w:rsidR="0077602A">
        <w:t xml:space="preserve">enbart </w:t>
      </w:r>
      <w:r>
        <w:t xml:space="preserve">kostnaden för respektive resurs som avgör </w:t>
      </w:r>
      <w:r w:rsidR="0077602A">
        <w:t xml:space="preserve">vilken andel produktion/förbrukningsreduktion som upphandlas. </w:t>
      </w:r>
      <w:r>
        <w:t xml:space="preserve"> </w:t>
      </w:r>
    </w:p>
    <w:p w14:paraId="44E1A18C" w14:textId="77777777" w:rsidR="001251B8" w:rsidRDefault="001251B8" w:rsidP="00185D34">
      <w:pPr>
        <w:pStyle w:val="RKnormal"/>
      </w:pPr>
    </w:p>
    <w:p w14:paraId="1EFF439D" w14:textId="77777777" w:rsidR="00185D34" w:rsidRDefault="0077602A" w:rsidP="00185D34">
      <w:pPr>
        <w:pStyle w:val="RKnormal"/>
      </w:pPr>
      <w:r>
        <w:t xml:space="preserve">För att kunna analysera konsekvenserna av förslaget </w:t>
      </w:r>
      <w:r w:rsidR="00F347AD">
        <w:t xml:space="preserve">till </w:t>
      </w:r>
      <w:r>
        <w:t>ny förordning om effektreserv blir det på samma sätt a</w:t>
      </w:r>
      <w:r w:rsidR="00185D34">
        <w:t xml:space="preserve">vgörande hur stor andel som utgörs av </w:t>
      </w:r>
      <w:r w:rsidR="00CD48CE">
        <w:t>respektive resurs</w:t>
      </w:r>
      <w:r>
        <w:t>, produktion eller förbrukningsreduktion</w:t>
      </w:r>
      <w:r w:rsidR="00CD48CE">
        <w:t xml:space="preserve">. </w:t>
      </w:r>
    </w:p>
    <w:p w14:paraId="41D1AA03" w14:textId="77777777" w:rsidR="002F66FB" w:rsidRDefault="002F66FB" w:rsidP="00185D34">
      <w:pPr>
        <w:pStyle w:val="RKnormal"/>
      </w:pPr>
    </w:p>
    <w:p w14:paraId="237415F9" w14:textId="77777777" w:rsidR="002F66FB" w:rsidRDefault="001251B8" w:rsidP="00185D34">
      <w:pPr>
        <w:pStyle w:val="RKnormal"/>
      </w:pPr>
      <w:r>
        <w:t>S</w:t>
      </w:r>
      <w:r w:rsidR="002F66FB">
        <w:t xml:space="preserve">venska kraftnät </w:t>
      </w:r>
      <w:r w:rsidR="0077602A">
        <w:t xml:space="preserve">har framfört </w:t>
      </w:r>
      <w:r w:rsidR="002F66FB">
        <w:t>att</w:t>
      </w:r>
      <w:r w:rsidR="0077602A">
        <w:t xml:space="preserve"> de</w:t>
      </w:r>
      <w:r w:rsidR="002F66FB">
        <w:t xml:space="preserve"> produktionsresurser </w:t>
      </w:r>
      <w:r w:rsidR="00096CBD">
        <w:t>som ing</w:t>
      </w:r>
      <w:r w:rsidR="00D6797E">
        <w:t xml:space="preserve">år i effektreserven </w:t>
      </w:r>
      <w:r w:rsidR="00F347AD">
        <w:t xml:space="preserve">utgör </w:t>
      </w:r>
      <w:r w:rsidR="002F66FB">
        <w:t>ett större bidrag till driftsäkerheten än efterfrågereduktionerna</w:t>
      </w:r>
      <w:r w:rsidR="0077602A">
        <w:t>. Svenska kraftnät</w:t>
      </w:r>
      <w:r w:rsidR="002F66FB">
        <w:t xml:space="preserve"> föredrar av den anledningen </w:t>
      </w:r>
      <w:r w:rsidR="002F66FB">
        <w:lastRenderedPageBreak/>
        <w:t>produktionsresurser</w:t>
      </w:r>
      <w:r w:rsidR="004E7250">
        <w:t xml:space="preserve"> framför </w:t>
      </w:r>
      <w:r w:rsidR="00F347AD">
        <w:t xml:space="preserve">förbrukningsreduktioner </w:t>
      </w:r>
      <w:r w:rsidR="0029590D">
        <w:t>i effektreserven. Styrande för hur mycket</w:t>
      </w:r>
      <w:r w:rsidR="002F66FB">
        <w:t xml:space="preserve"> som upphandlas är dels hur stora bud som lämnas för produktionsresurserna, dels kostnaden för dem. I och med att effektreserven är satt till en fast numerär</w:t>
      </w:r>
      <w:r w:rsidR="0077602A">
        <w:t xml:space="preserve"> (megawatt)</w:t>
      </w:r>
      <w:r w:rsidR="002F66FB">
        <w:t xml:space="preserve"> och att de bud som inkommer till Svens</w:t>
      </w:r>
      <w:r w:rsidR="0029590D">
        <w:t xml:space="preserve">ka kraftnät är fasta, kan andelen </w:t>
      </w:r>
      <w:r w:rsidR="00F347AD">
        <w:t xml:space="preserve">förbrukningsreduktioner </w:t>
      </w:r>
      <w:r w:rsidR="0029590D">
        <w:t xml:space="preserve">variera. </w:t>
      </w:r>
      <w:r w:rsidR="00CC63F9">
        <w:t>Det vanligaste utfallet har</w:t>
      </w:r>
      <w:r w:rsidR="0029590D">
        <w:t xml:space="preserve"> därför </w:t>
      </w:r>
      <w:r w:rsidR="00C2728F">
        <w:t xml:space="preserve">blivit </w:t>
      </w:r>
      <w:r w:rsidR="0029590D">
        <w:t xml:space="preserve">att effektreserven utgörs av produktionsresurser men fylls upp med </w:t>
      </w:r>
      <w:r w:rsidR="00FE3AA0">
        <w:t>förbrukningsreduktioner</w:t>
      </w:r>
      <w:r w:rsidR="0029590D">
        <w:t>.</w:t>
      </w:r>
      <w:r w:rsidR="00BD0857">
        <w:t xml:space="preserve"> </w:t>
      </w:r>
      <w:r w:rsidR="00C2728F">
        <w:t xml:space="preserve">Bedömningen är att detta även kommer att gälla vid tillämpningen av den nya förordningen om effektreserv. </w:t>
      </w:r>
    </w:p>
    <w:p w14:paraId="377BC5FA" w14:textId="77777777" w:rsidR="002F66FB" w:rsidRDefault="002F66FB" w:rsidP="00185D34">
      <w:pPr>
        <w:pStyle w:val="RKnormal"/>
      </w:pPr>
    </w:p>
    <w:p w14:paraId="2266DD77" w14:textId="77777777" w:rsidR="00641FD3" w:rsidRDefault="00E97F1D" w:rsidP="00185D34">
      <w:pPr>
        <w:pStyle w:val="RKnormal"/>
      </w:pPr>
      <w:r>
        <w:t xml:space="preserve">Av </w:t>
      </w:r>
      <w:r w:rsidR="002F66FB">
        <w:t xml:space="preserve">4 § i </w:t>
      </w:r>
      <w:r w:rsidR="00CC63F9">
        <w:t xml:space="preserve">föreslaget till </w:t>
      </w:r>
      <w:r w:rsidR="002F66FB">
        <w:t xml:space="preserve">förordning </w:t>
      </w:r>
      <w:r>
        <w:t xml:space="preserve">framgår att </w:t>
      </w:r>
      <w:r w:rsidR="002F66FB">
        <w:t xml:space="preserve">minst 25 procent </w:t>
      </w:r>
      <w:r>
        <w:t xml:space="preserve">av effektreserven </w:t>
      </w:r>
      <w:r w:rsidR="002F66FB">
        <w:t>vara avtal om minskad förbrukning.</w:t>
      </w:r>
      <w:r w:rsidR="002F66FB" w:rsidRPr="002F66FB">
        <w:t xml:space="preserve"> </w:t>
      </w:r>
      <w:r w:rsidR="002F66FB">
        <w:t xml:space="preserve">Andelen får </w:t>
      </w:r>
      <w:r>
        <w:t xml:space="preserve">dock </w:t>
      </w:r>
      <w:r w:rsidR="002F66FB">
        <w:t xml:space="preserve">vara mindre i den utsträckning det saknas förutsättningar för sådana avtal med hänsyn till de anbud som har lämnats eller om det annars finns särskilda skäl. </w:t>
      </w:r>
      <w:r w:rsidR="0029590D">
        <w:t xml:space="preserve">Det kan därför antas att </w:t>
      </w:r>
      <w:r w:rsidR="007C02FC">
        <w:t xml:space="preserve">minst </w:t>
      </w:r>
      <w:r w:rsidR="0029590D">
        <w:t xml:space="preserve">562 MW av effektreserven kommer att bestå av produktionsresurser, </w:t>
      </w:r>
      <w:r w:rsidR="007C02FC">
        <w:t>förutsatt att det lämnas tillräckligt många lämpliga anbud</w:t>
      </w:r>
      <w:r w:rsidR="006B2728">
        <w:t xml:space="preserve"> om att tillhandahålla produktionskapacitet</w:t>
      </w:r>
      <w:r w:rsidR="00873CB2">
        <w:t xml:space="preserve">. </w:t>
      </w:r>
    </w:p>
    <w:p w14:paraId="5F4AE94F" w14:textId="77777777" w:rsidR="00A32854" w:rsidRDefault="00A32854" w:rsidP="00A32854">
      <w:pPr>
        <w:pStyle w:val="RKnormal"/>
      </w:pPr>
    </w:p>
    <w:p w14:paraId="57E555B0" w14:textId="77777777" w:rsidR="00EC549C" w:rsidRDefault="00EC549C" w:rsidP="00185D34">
      <w:pPr>
        <w:pStyle w:val="RKnormal"/>
      </w:pPr>
      <w:r>
        <w:t xml:space="preserve">De produktionsresurser som </w:t>
      </w:r>
      <w:r w:rsidR="00FE3AA0">
        <w:t>hittills har ingått</w:t>
      </w:r>
      <w:r w:rsidR="003F6CE7">
        <w:t xml:space="preserve"> </w:t>
      </w:r>
      <w:r w:rsidR="00FE3AA0">
        <w:t xml:space="preserve">i effektreserven </w:t>
      </w:r>
      <w:r w:rsidR="003F6CE7">
        <w:t>el</w:t>
      </w:r>
      <w:r w:rsidR="00967DE8">
        <w:t>ler kommer att ingå vintern 2015</w:t>
      </w:r>
      <w:r w:rsidR="003F6CE7">
        <w:t>/2016</w:t>
      </w:r>
      <w:r>
        <w:t xml:space="preserve"> </w:t>
      </w:r>
      <w:r w:rsidR="00CC76BC">
        <w:t xml:space="preserve">eldas med </w:t>
      </w:r>
      <w:r>
        <w:t>olja</w:t>
      </w:r>
      <w:r w:rsidR="00CC76BC">
        <w:t xml:space="preserve"> eller kol</w:t>
      </w:r>
      <w:r>
        <w:t>. Effektreserve</w:t>
      </w:r>
      <w:r w:rsidR="00BA0C5F">
        <w:t xml:space="preserve">n har aktiverats vid </w:t>
      </w:r>
      <w:r w:rsidR="00CC63F9">
        <w:t xml:space="preserve">ett </w:t>
      </w:r>
      <w:r w:rsidR="00D01871">
        <w:t xml:space="preserve">litet </w:t>
      </w:r>
      <w:r w:rsidR="00FB42FA">
        <w:t>antal tillfällen under det senaste 10 åren</w:t>
      </w:r>
      <w:r w:rsidR="00AB4D2D">
        <w:t>, se tabellen nedan</w:t>
      </w:r>
      <w:r w:rsidR="00FB42FA">
        <w:t>.</w:t>
      </w:r>
    </w:p>
    <w:p w14:paraId="1415208D" w14:textId="77777777" w:rsidR="00EC549C" w:rsidRDefault="00EC549C" w:rsidP="00185D34">
      <w:pPr>
        <w:pStyle w:val="RKnormal"/>
      </w:pPr>
    </w:p>
    <w:tbl>
      <w:tblPr>
        <w:tblStyle w:val="Standardtabell1"/>
        <w:tblW w:w="0" w:type="auto"/>
        <w:tblLook w:val="04A0" w:firstRow="1" w:lastRow="0" w:firstColumn="1" w:lastColumn="0" w:noHBand="0" w:noVBand="1"/>
      </w:tblPr>
      <w:tblGrid>
        <w:gridCol w:w="3755"/>
        <w:gridCol w:w="3756"/>
      </w:tblGrid>
      <w:tr w:rsidR="00EC549C" w14:paraId="1B7B591A" w14:textId="77777777" w:rsidTr="00567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dxa"/>
            <w:tcBorders>
              <w:bottom w:val="single" w:sz="4" w:space="0" w:color="auto"/>
            </w:tcBorders>
          </w:tcPr>
          <w:p w14:paraId="098E6C03" w14:textId="77777777" w:rsidR="00EC549C" w:rsidRPr="00EC549C" w:rsidRDefault="00EC549C" w:rsidP="00BE2094">
            <w:pPr>
              <w:overflowPunct/>
              <w:autoSpaceDE/>
              <w:autoSpaceDN/>
              <w:adjustRightInd/>
              <w:spacing w:line="240" w:lineRule="auto"/>
              <w:textAlignment w:val="bottom"/>
              <w:rPr>
                <w:rFonts w:ascii="Calibri" w:hAnsi="Calibri" w:cs="Arial"/>
                <w:b/>
                <w:bCs/>
                <w:color w:val="000000"/>
                <w:kern w:val="24"/>
                <w:sz w:val="22"/>
                <w:szCs w:val="22"/>
                <w:lang w:eastAsia="sv-SE"/>
              </w:rPr>
            </w:pPr>
            <w:r>
              <w:rPr>
                <w:rFonts w:ascii="Calibri" w:hAnsi="Calibri" w:cs="Arial"/>
                <w:b/>
                <w:bCs/>
                <w:color w:val="000000"/>
                <w:kern w:val="24"/>
                <w:sz w:val="22"/>
                <w:szCs w:val="22"/>
                <w:lang w:eastAsia="sv-SE"/>
              </w:rPr>
              <w:t>Period</w:t>
            </w:r>
          </w:p>
        </w:tc>
        <w:tc>
          <w:tcPr>
            <w:tcW w:w="3756" w:type="dxa"/>
            <w:tcBorders>
              <w:bottom w:val="single" w:sz="4" w:space="0" w:color="auto"/>
            </w:tcBorders>
          </w:tcPr>
          <w:p w14:paraId="37D257B4" w14:textId="77777777" w:rsidR="00EC549C" w:rsidRPr="00EC549C" w:rsidRDefault="00EC549C" w:rsidP="00BE2094">
            <w:pPr>
              <w:overflowPunct/>
              <w:autoSpaceDE/>
              <w:autoSpaceDN/>
              <w:adjustRightInd/>
              <w:spacing w:line="240" w:lineRule="auto"/>
              <w:textAlignment w:val="bottom"/>
              <w:cnfStyle w:val="100000000000" w:firstRow="1" w:lastRow="0" w:firstColumn="0" w:lastColumn="0" w:oddVBand="0" w:evenVBand="0" w:oddHBand="0" w:evenHBand="0" w:firstRowFirstColumn="0" w:firstRowLastColumn="0" w:lastRowFirstColumn="0" w:lastRowLastColumn="0"/>
              <w:rPr>
                <w:rFonts w:ascii="Calibri" w:hAnsi="Calibri" w:cs="Arial"/>
                <w:b/>
                <w:color w:val="000000"/>
                <w:kern w:val="24"/>
                <w:sz w:val="22"/>
                <w:szCs w:val="22"/>
                <w:lang w:eastAsia="sv-SE"/>
              </w:rPr>
            </w:pPr>
            <w:r>
              <w:rPr>
                <w:rFonts w:ascii="Calibri" w:hAnsi="Calibri" w:cs="Arial"/>
                <w:b/>
                <w:color w:val="000000"/>
                <w:kern w:val="24"/>
                <w:sz w:val="22"/>
                <w:szCs w:val="22"/>
                <w:lang w:eastAsia="sv-SE"/>
              </w:rPr>
              <w:t>A</w:t>
            </w:r>
            <w:r w:rsidRPr="00EC549C">
              <w:rPr>
                <w:rFonts w:ascii="Calibri" w:hAnsi="Calibri" w:cs="Arial"/>
                <w:b/>
                <w:color w:val="000000"/>
                <w:kern w:val="24"/>
                <w:sz w:val="22"/>
                <w:szCs w:val="22"/>
                <w:lang w:eastAsia="sv-SE"/>
              </w:rPr>
              <w:t>ktivering</w:t>
            </w:r>
          </w:p>
        </w:tc>
      </w:tr>
      <w:tr w:rsidR="00EC549C" w14:paraId="4A452192"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66160393"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2014/2015</w:t>
            </w:r>
          </w:p>
        </w:tc>
        <w:tc>
          <w:tcPr>
            <w:tcW w:w="3756" w:type="dxa"/>
            <w:tcBorders>
              <w:top w:val="single" w:sz="4" w:space="0" w:color="auto"/>
              <w:left w:val="single" w:sz="4" w:space="0" w:color="auto"/>
              <w:bottom w:val="single" w:sz="4" w:space="0" w:color="auto"/>
              <w:right w:val="single" w:sz="4" w:space="0" w:color="auto"/>
            </w:tcBorders>
          </w:tcPr>
          <w:p w14:paraId="75940307"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Ingen aktivering, men ändrad beredskapstid under ett tillfälle.  </w:t>
            </w:r>
          </w:p>
        </w:tc>
      </w:tr>
      <w:tr w:rsidR="00EC549C" w14:paraId="583C1073"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5925CBCF"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2013/2014</w:t>
            </w:r>
          </w:p>
        </w:tc>
        <w:tc>
          <w:tcPr>
            <w:tcW w:w="3756" w:type="dxa"/>
            <w:tcBorders>
              <w:top w:val="single" w:sz="4" w:space="0" w:color="auto"/>
              <w:left w:val="single" w:sz="4" w:space="0" w:color="auto"/>
              <w:bottom w:val="single" w:sz="4" w:space="0" w:color="auto"/>
              <w:right w:val="single" w:sz="4" w:space="0" w:color="auto"/>
            </w:tcBorders>
          </w:tcPr>
          <w:p w14:paraId="1A08A203"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 xml:space="preserve">Ingen aktivering. </w:t>
            </w:r>
          </w:p>
        </w:tc>
      </w:tr>
      <w:tr w:rsidR="00EC549C" w14:paraId="6E7FF16B"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134FF0EF"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2012/2013</w:t>
            </w:r>
          </w:p>
        </w:tc>
        <w:tc>
          <w:tcPr>
            <w:tcW w:w="3756" w:type="dxa"/>
            <w:tcBorders>
              <w:top w:val="single" w:sz="4" w:space="0" w:color="auto"/>
              <w:left w:val="single" w:sz="4" w:space="0" w:color="auto"/>
              <w:bottom w:val="single" w:sz="4" w:space="0" w:color="auto"/>
              <w:right w:val="single" w:sz="4" w:space="0" w:color="auto"/>
            </w:tcBorders>
          </w:tcPr>
          <w:p w14:paraId="7CDABC8A"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Aktivering av balansskäl vid ett tillfälle.</w:t>
            </w:r>
          </w:p>
        </w:tc>
      </w:tr>
      <w:tr w:rsidR="00EC549C" w14:paraId="4EABE705"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3D5D764E"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2011/2012</w:t>
            </w:r>
          </w:p>
        </w:tc>
        <w:tc>
          <w:tcPr>
            <w:tcW w:w="3756" w:type="dxa"/>
            <w:tcBorders>
              <w:top w:val="single" w:sz="4" w:space="0" w:color="auto"/>
              <w:left w:val="single" w:sz="4" w:space="0" w:color="auto"/>
              <w:bottom w:val="single" w:sz="4" w:space="0" w:color="auto"/>
              <w:right w:val="single" w:sz="4" w:space="0" w:color="auto"/>
            </w:tcBorders>
          </w:tcPr>
          <w:p w14:paraId="45905F7C"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Aktivering av balansskäl vid fem tillfällen.</w:t>
            </w:r>
          </w:p>
        </w:tc>
      </w:tr>
      <w:tr w:rsidR="00EC549C" w14:paraId="5861DFA2"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33CA95E4"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2010/2011</w:t>
            </w:r>
          </w:p>
        </w:tc>
        <w:tc>
          <w:tcPr>
            <w:tcW w:w="3756" w:type="dxa"/>
            <w:tcBorders>
              <w:top w:val="single" w:sz="4" w:space="0" w:color="auto"/>
              <w:left w:val="single" w:sz="4" w:space="0" w:color="auto"/>
              <w:bottom w:val="single" w:sz="4" w:space="0" w:color="auto"/>
              <w:right w:val="single" w:sz="4" w:space="0" w:color="auto"/>
            </w:tcBorders>
          </w:tcPr>
          <w:p w14:paraId="7DE514F4"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Ingen aktivering av balansskäl. Nyttjades till viss del av nätskäl.</w:t>
            </w:r>
          </w:p>
        </w:tc>
      </w:tr>
      <w:tr w:rsidR="00EC549C" w14:paraId="559AAAE8"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3DCD2198"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2009/2010</w:t>
            </w:r>
          </w:p>
        </w:tc>
        <w:tc>
          <w:tcPr>
            <w:tcW w:w="3756" w:type="dxa"/>
            <w:tcBorders>
              <w:top w:val="single" w:sz="4" w:space="0" w:color="auto"/>
              <w:left w:val="single" w:sz="4" w:space="0" w:color="auto"/>
              <w:bottom w:val="single" w:sz="4" w:space="0" w:color="auto"/>
              <w:right w:val="single" w:sz="4" w:space="0" w:color="auto"/>
            </w:tcBorders>
          </w:tcPr>
          <w:p w14:paraId="018E9299"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Aktivering av balansskäl vid tre tillfällen.</w:t>
            </w:r>
          </w:p>
        </w:tc>
      </w:tr>
      <w:tr w:rsidR="00EC549C" w14:paraId="045276B4"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tcPr>
          <w:p w14:paraId="299B7062"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Pr>
                <w:rFonts w:ascii="Calibri" w:hAnsi="Calibri" w:cs="Arial"/>
                <w:b/>
                <w:bCs/>
                <w:color w:val="000000"/>
                <w:kern w:val="24"/>
                <w:sz w:val="22"/>
                <w:szCs w:val="22"/>
                <w:lang w:eastAsia="sv-SE"/>
              </w:rPr>
              <w:t>2008</w:t>
            </w:r>
            <w:r w:rsidRPr="00EC549C">
              <w:rPr>
                <w:rFonts w:ascii="Calibri" w:hAnsi="Calibri" w:cs="Arial"/>
                <w:b/>
                <w:bCs/>
                <w:color w:val="000000"/>
                <w:kern w:val="24"/>
                <w:sz w:val="22"/>
                <w:szCs w:val="22"/>
                <w:lang w:eastAsia="sv-SE"/>
              </w:rPr>
              <w:t>/20</w:t>
            </w:r>
            <w:r>
              <w:rPr>
                <w:rFonts w:ascii="Calibri" w:hAnsi="Calibri" w:cs="Arial"/>
                <w:b/>
                <w:bCs/>
                <w:color w:val="000000"/>
                <w:kern w:val="24"/>
                <w:sz w:val="22"/>
                <w:szCs w:val="22"/>
                <w:lang w:eastAsia="sv-SE"/>
              </w:rPr>
              <w:t>09</w:t>
            </w:r>
          </w:p>
        </w:tc>
        <w:tc>
          <w:tcPr>
            <w:tcW w:w="3756" w:type="dxa"/>
            <w:tcBorders>
              <w:top w:val="single" w:sz="4" w:space="0" w:color="auto"/>
              <w:left w:val="single" w:sz="4" w:space="0" w:color="auto"/>
              <w:bottom w:val="single" w:sz="4" w:space="0" w:color="auto"/>
              <w:right w:val="single" w:sz="4" w:space="0" w:color="auto"/>
            </w:tcBorders>
          </w:tcPr>
          <w:p w14:paraId="4B332655"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Ingen aktivering, men ändrad beredskapstid under ett tillfälle.  </w:t>
            </w:r>
          </w:p>
        </w:tc>
      </w:tr>
      <w:tr w:rsidR="00EC549C" w14:paraId="05AC23DD"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vAlign w:val="bottom"/>
          </w:tcPr>
          <w:p w14:paraId="6AA0997A"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2007/2008</w:t>
            </w:r>
          </w:p>
        </w:tc>
        <w:tc>
          <w:tcPr>
            <w:tcW w:w="3756" w:type="dxa"/>
            <w:tcBorders>
              <w:top w:val="single" w:sz="4" w:space="0" w:color="auto"/>
              <w:left w:val="single" w:sz="4" w:space="0" w:color="auto"/>
              <w:bottom w:val="single" w:sz="4" w:space="0" w:color="auto"/>
              <w:right w:val="single" w:sz="4" w:space="0" w:color="auto"/>
            </w:tcBorders>
            <w:vAlign w:val="bottom"/>
          </w:tcPr>
          <w:p w14:paraId="2E2CBF1A"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Ingen aktivering.</w:t>
            </w:r>
          </w:p>
        </w:tc>
      </w:tr>
      <w:tr w:rsidR="00EC549C" w14:paraId="60C08348"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vAlign w:val="bottom"/>
          </w:tcPr>
          <w:p w14:paraId="37E8797A"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2006/2007</w:t>
            </w:r>
          </w:p>
        </w:tc>
        <w:tc>
          <w:tcPr>
            <w:tcW w:w="3756" w:type="dxa"/>
            <w:tcBorders>
              <w:top w:val="single" w:sz="4" w:space="0" w:color="auto"/>
              <w:left w:val="single" w:sz="4" w:space="0" w:color="auto"/>
              <w:bottom w:val="single" w:sz="4" w:space="0" w:color="auto"/>
              <w:right w:val="single" w:sz="4" w:space="0" w:color="auto"/>
            </w:tcBorders>
            <w:vAlign w:val="bottom"/>
          </w:tcPr>
          <w:p w14:paraId="6C890CE4"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Ingen aktivering av balansskäl. Nyttjades till viss del av nätskäl.</w:t>
            </w:r>
          </w:p>
        </w:tc>
      </w:tr>
      <w:tr w:rsidR="00EC549C" w14:paraId="1864DE83" w14:textId="77777777" w:rsidTr="00567E73">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auto"/>
              <w:left w:val="single" w:sz="4" w:space="0" w:color="auto"/>
              <w:bottom w:val="single" w:sz="4" w:space="0" w:color="auto"/>
              <w:right w:val="single" w:sz="4" w:space="0" w:color="auto"/>
            </w:tcBorders>
            <w:vAlign w:val="bottom"/>
          </w:tcPr>
          <w:p w14:paraId="5479561E" w14:textId="77777777" w:rsidR="00EC549C" w:rsidRPr="00EC549C" w:rsidRDefault="00EC549C" w:rsidP="00BE2094">
            <w:pPr>
              <w:overflowPunct/>
              <w:autoSpaceDE/>
              <w:autoSpaceDN/>
              <w:adjustRightInd/>
              <w:spacing w:line="240" w:lineRule="auto"/>
              <w:textAlignment w:val="bottom"/>
              <w:rPr>
                <w:rFonts w:ascii="Arial" w:hAnsi="Arial" w:cs="Arial"/>
                <w:sz w:val="36"/>
                <w:szCs w:val="36"/>
                <w:lang w:eastAsia="sv-SE"/>
              </w:rPr>
            </w:pPr>
            <w:r w:rsidRPr="00EC549C">
              <w:rPr>
                <w:rFonts w:ascii="Calibri" w:hAnsi="Calibri" w:cs="Arial"/>
                <w:b/>
                <w:bCs/>
                <w:color w:val="000000"/>
                <w:kern w:val="24"/>
                <w:sz w:val="22"/>
                <w:szCs w:val="22"/>
                <w:lang w:eastAsia="sv-SE"/>
              </w:rPr>
              <w:t>2005/2006</w:t>
            </w:r>
          </w:p>
        </w:tc>
        <w:tc>
          <w:tcPr>
            <w:tcW w:w="3756" w:type="dxa"/>
            <w:tcBorders>
              <w:top w:val="single" w:sz="4" w:space="0" w:color="auto"/>
              <w:left w:val="single" w:sz="4" w:space="0" w:color="auto"/>
              <w:bottom w:val="single" w:sz="4" w:space="0" w:color="auto"/>
              <w:right w:val="single" w:sz="4" w:space="0" w:color="auto"/>
            </w:tcBorders>
            <w:vAlign w:val="bottom"/>
          </w:tcPr>
          <w:p w14:paraId="4DE9AB7E" w14:textId="77777777" w:rsidR="00EC549C" w:rsidRPr="00EC549C" w:rsidRDefault="00EC549C" w:rsidP="00BE2094">
            <w:pPr>
              <w:overflowPunct/>
              <w:autoSpaceDE/>
              <w:autoSpaceDN/>
              <w:adjustRightInd/>
              <w:spacing w:line="240" w:lineRule="auto"/>
              <w:textAlignment w:val="bottom"/>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eastAsia="sv-SE"/>
              </w:rPr>
            </w:pPr>
            <w:r w:rsidRPr="00EC549C">
              <w:rPr>
                <w:rFonts w:ascii="Calibri" w:hAnsi="Calibri" w:cs="Arial"/>
                <w:color w:val="000000"/>
                <w:kern w:val="24"/>
                <w:sz w:val="22"/>
                <w:szCs w:val="22"/>
                <w:lang w:eastAsia="sv-SE"/>
              </w:rPr>
              <w:t>Ingen aktivering.</w:t>
            </w:r>
          </w:p>
        </w:tc>
      </w:tr>
    </w:tbl>
    <w:p w14:paraId="70B903FB" w14:textId="77777777" w:rsidR="00EC549C" w:rsidRDefault="00EC549C" w:rsidP="00185D34">
      <w:pPr>
        <w:pStyle w:val="RKnormal"/>
      </w:pPr>
    </w:p>
    <w:p w14:paraId="04DA9D76" w14:textId="77777777" w:rsidR="00EC549C" w:rsidRDefault="00D01871" w:rsidP="00185D34">
      <w:pPr>
        <w:pStyle w:val="RKnormal"/>
      </w:pPr>
      <w:r>
        <w:t>Eftersom</w:t>
      </w:r>
      <w:r w:rsidR="00FB42FA">
        <w:t xml:space="preserve"> aktivering skett vid </w:t>
      </w:r>
      <w:r w:rsidR="00225604">
        <w:t>ett fåtal tillfällen</w:t>
      </w:r>
      <w:r w:rsidR="00665194">
        <w:t xml:space="preserve"> har miljökonsekvenserna av effektreserven </w:t>
      </w:r>
      <w:r w:rsidR="00E97F1D">
        <w:t xml:space="preserve">hittills </w:t>
      </w:r>
      <w:r w:rsidR="00665194">
        <w:t>varit ringa</w:t>
      </w:r>
      <w:r w:rsidR="00CC76BC">
        <w:t xml:space="preserve"> även om de produktionsresurser som ingått eldats med olja eller kol</w:t>
      </w:r>
      <w:r w:rsidR="00665194">
        <w:t xml:space="preserve">. </w:t>
      </w:r>
    </w:p>
    <w:p w14:paraId="51D77349" w14:textId="77777777" w:rsidR="00225604" w:rsidRDefault="00225604" w:rsidP="00185D34">
      <w:pPr>
        <w:pStyle w:val="RKnormal"/>
      </w:pPr>
    </w:p>
    <w:p w14:paraId="516E92EE" w14:textId="77777777" w:rsidR="00225604" w:rsidRDefault="00225604" w:rsidP="00185D34">
      <w:pPr>
        <w:pStyle w:val="RKnormal"/>
      </w:pPr>
      <w:r>
        <w:t xml:space="preserve">Anledningen till att effektreserven </w:t>
      </w:r>
      <w:r w:rsidR="00E97F1D">
        <w:t xml:space="preserve">nu </w:t>
      </w:r>
      <w:r>
        <w:t xml:space="preserve">föreslås förlängas </w:t>
      </w:r>
      <w:r w:rsidR="00FE3AA0">
        <w:t>är</w:t>
      </w:r>
      <w:r>
        <w:t xml:space="preserve"> att behovet </w:t>
      </w:r>
      <w:r w:rsidR="00E97F1D">
        <w:t>av effektreserven</w:t>
      </w:r>
      <w:r w:rsidR="00E27631">
        <w:t xml:space="preserve">, både gällande antalet </w:t>
      </w:r>
      <w:r w:rsidR="00FE3AA0">
        <w:t xml:space="preserve">tillfällen </w:t>
      </w:r>
      <w:r w:rsidR="00E27631">
        <w:t>då den används och hur länge den då används,</w:t>
      </w:r>
      <w:r w:rsidR="00E97F1D">
        <w:t xml:space="preserve"> bedöms </w:t>
      </w:r>
      <w:r w:rsidR="00E27631">
        <w:t xml:space="preserve">kunna </w:t>
      </w:r>
      <w:r>
        <w:t>komma att öka</w:t>
      </w:r>
      <w:r w:rsidR="00E27631">
        <w:t xml:space="preserve"> i framtiden</w:t>
      </w:r>
      <w:r>
        <w:t xml:space="preserve">. Av den </w:t>
      </w:r>
      <w:r>
        <w:lastRenderedPageBreak/>
        <w:t>anledningen är det en dålig approximation att använda historiska data för att bedöma konsekvenserna av förslaget i förordningen</w:t>
      </w:r>
      <w:r w:rsidR="00E27631">
        <w:t xml:space="preserve"> om effektreserv</w:t>
      </w:r>
      <w:r>
        <w:t>.</w:t>
      </w:r>
    </w:p>
    <w:p w14:paraId="1A07A561" w14:textId="77777777" w:rsidR="00225604" w:rsidRDefault="00225604" w:rsidP="00185D34">
      <w:pPr>
        <w:pStyle w:val="RKnormal"/>
      </w:pPr>
    </w:p>
    <w:p w14:paraId="326049D0" w14:textId="77777777" w:rsidR="00225604" w:rsidRDefault="00225604" w:rsidP="00185D34">
      <w:pPr>
        <w:pStyle w:val="RKnormal"/>
      </w:pPr>
      <w:r>
        <w:t xml:space="preserve">Fördelningen mellan produktionsresurser och </w:t>
      </w:r>
      <w:r w:rsidR="00770EEE">
        <w:t>förbrukningsreduktioner</w:t>
      </w:r>
      <w:r>
        <w:t xml:space="preserve">, även om de inte är perfekta substitut, är också avhängig </w:t>
      </w:r>
      <w:r w:rsidR="008D7234">
        <w:t xml:space="preserve">av </w:t>
      </w:r>
      <w:r w:rsidR="00E27631">
        <w:t xml:space="preserve">kostnadsnivån </w:t>
      </w:r>
      <w:r>
        <w:t xml:space="preserve">och de bud som respektive aktör lämnar vid upphandlingen. De produktionsresurser som i dagsläget ingår i effektreserven är alla eldade med </w:t>
      </w:r>
      <w:r w:rsidR="00567E73">
        <w:t>fossil</w:t>
      </w:r>
      <w:r>
        <w:t>olja</w:t>
      </w:r>
      <w:r w:rsidR="009D3569">
        <w:t>. D</w:t>
      </w:r>
      <w:r w:rsidR="00D3129F">
        <w:t>et</w:t>
      </w:r>
      <w:r>
        <w:t xml:space="preserve"> skulle behöva göra</w:t>
      </w:r>
      <w:r w:rsidR="00D3129F">
        <w:t>s</w:t>
      </w:r>
      <w:r>
        <w:t xml:space="preserve"> investeringar för a</w:t>
      </w:r>
      <w:r w:rsidR="00BA0C5F">
        <w:t>t</w:t>
      </w:r>
      <w:r>
        <w:t xml:space="preserve">t </w:t>
      </w:r>
      <w:r w:rsidR="001F385A">
        <w:t>ställa om produktionen</w:t>
      </w:r>
      <w:r>
        <w:t xml:space="preserve"> till att eldas med förnybara bränslen</w:t>
      </w:r>
      <w:r w:rsidR="00BA0C5F">
        <w:t xml:space="preserve"> </w:t>
      </w:r>
      <w:r w:rsidR="00E27631">
        <w:t>såsom olika biooljor</w:t>
      </w:r>
      <w:r>
        <w:t xml:space="preserve">. Sådana investeringar </w:t>
      </w:r>
      <w:r w:rsidR="00E27631">
        <w:t>bedöms alltså påverka kostnadsrelationen mellan produktion och förbrukningsreduktion.</w:t>
      </w:r>
      <w:r w:rsidR="00E27631" w:rsidDel="00E27631">
        <w:t xml:space="preserve"> </w:t>
      </w:r>
      <w:r w:rsidR="00E27631">
        <w:t xml:space="preserve">Ett möjligt utfall skulle därmed kunna bli att </w:t>
      </w:r>
      <w:r>
        <w:t>andelen produktionsresurser</w:t>
      </w:r>
      <w:r w:rsidR="00BA0C5F">
        <w:t xml:space="preserve"> </w:t>
      </w:r>
      <w:r w:rsidR="00E27631">
        <w:t>minska</w:t>
      </w:r>
      <w:r w:rsidR="00770EEE">
        <w:t>r</w:t>
      </w:r>
      <w:r w:rsidR="00E27631">
        <w:t xml:space="preserve"> </w:t>
      </w:r>
      <w:r w:rsidR="00BA0C5F">
        <w:t>och andelen efterfrågeflexibilitet</w:t>
      </w:r>
      <w:r w:rsidR="00E27631">
        <w:t xml:space="preserve"> ökar i en framtida effektreserv. Utfallet är dock osäkert med anledning av att det i</w:t>
      </w:r>
      <w:r w:rsidR="006B2728">
        <w:t xml:space="preserve"> </w:t>
      </w:r>
      <w:r w:rsidR="00E27631">
        <w:t xml:space="preserve">dag inte går att förutse vilka slutliga överväganden Svenska kraftnät </w:t>
      </w:r>
      <w:r w:rsidR="00770EEE">
        <w:t xml:space="preserve">måste </w:t>
      </w:r>
      <w:r w:rsidR="00E27631">
        <w:t>göra</w:t>
      </w:r>
      <w:r w:rsidR="0031522E">
        <w:t xml:space="preserve"> vid upphandlingen</w:t>
      </w:r>
      <w:r>
        <w:t>.</w:t>
      </w:r>
    </w:p>
    <w:p w14:paraId="32FC86A8" w14:textId="77777777" w:rsidR="00197006" w:rsidRDefault="004E7250" w:rsidP="007C02FC">
      <w:pPr>
        <w:pStyle w:val="Rubrik2"/>
      </w:pPr>
      <w:r>
        <w:t>Kostnad</w:t>
      </w:r>
      <w:r w:rsidR="0031522E">
        <w:t>sbedömning</w:t>
      </w:r>
    </w:p>
    <w:p w14:paraId="1CC6A98F" w14:textId="77777777" w:rsidR="00BE53A6" w:rsidRDefault="004E7250" w:rsidP="00185D34">
      <w:pPr>
        <w:pStyle w:val="RKnormal"/>
      </w:pPr>
      <w:r>
        <w:t xml:space="preserve">Kostnaden för effektreserven kommer </w:t>
      </w:r>
      <w:r w:rsidR="00BE53A6">
        <w:t xml:space="preserve">att </w:t>
      </w:r>
      <w:r>
        <w:t xml:space="preserve">bero på </w:t>
      </w:r>
    </w:p>
    <w:p w14:paraId="0C639437" w14:textId="77777777" w:rsidR="00BE53A6" w:rsidRDefault="004E7250" w:rsidP="00CC63F9">
      <w:pPr>
        <w:pStyle w:val="RKnormal"/>
        <w:numPr>
          <w:ilvl w:val="0"/>
          <w:numId w:val="1"/>
        </w:numPr>
      </w:pPr>
      <w:r>
        <w:t xml:space="preserve">konkurrensen </w:t>
      </w:r>
      <w:r w:rsidR="00BE53A6">
        <w:t>och de</w:t>
      </w:r>
      <w:r>
        <w:t xml:space="preserve"> krav som ställs i</w:t>
      </w:r>
      <w:r w:rsidR="00BE53A6">
        <w:t>nom ramen för</w:t>
      </w:r>
      <w:r>
        <w:t xml:space="preserve"> upphandlin</w:t>
      </w:r>
      <w:r w:rsidR="00BE53A6">
        <w:t>g</w:t>
      </w:r>
      <w:r>
        <w:t>sförfarandet</w:t>
      </w:r>
      <w:r w:rsidR="00BE53A6">
        <w:t>,</w:t>
      </w:r>
    </w:p>
    <w:p w14:paraId="6339BD79" w14:textId="77777777" w:rsidR="00BE53A6" w:rsidRDefault="00BE53A6" w:rsidP="00CC63F9">
      <w:pPr>
        <w:pStyle w:val="RKnormal"/>
        <w:numPr>
          <w:ilvl w:val="0"/>
          <w:numId w:val="1"/>
        </w:numPr>
      </w:pPr>
      <w:r>
        <w:t xml:space="preserve">storleken på de produktionsbud som lämnas, samt </w:t>
      </w:r>
    </w:p>
    <w:p w14:paraId="3926AD57" w14:textId="77777777" w:rsidR="00BE53A6" w:rsidRDefault="00BE53A6" w:rsidP="00CC63F9">
      <w:pPr>
        <w:pStyle w:val="RKnormal"/>
        <w:numPr>
          <w:ilvl w:val="0"/>
          <w:numId w:val="1"/>
        </w:numPr>
      </w:pPr>
      <w:r>
        <w:t>substituerbarheten mellan produktionsresurser och efterfrågeflexibilitet</w:t>
      </w:r>
      <w:r w:rsidR="004E7250">
        <w:t xml:space="preserve">. </w:t>
      </w:r>
    </w:p>
    <w:p w14:paraId="1BD4A90A" w14:textId="77777777" w:rsidR="00BE53A6" w:rsidRDefault="00BE53A6" w:rsidP="00185D34">
      <w:pPr>
        <w:pStyle w:val="RKnormal"/>
      </w:pPr>
    </w:p>
    <w:p w14:paraId="4865B495" w14:textId="77777777" w:rsidR="00400328" w:rsidRDefault="00400328" w:rsidP="00185D34">
      <w:pPr>
        <w:pStyle w:val="RKnormal"/>
      </w:pPr>
      <w:r>
        <w:t xml:space="preserve">Funktionskravet i förordningen utesluter anläggningar som inte uppfyller de krav som Svenska kraftnät har när det gäller tillgänglighet och uthållighet. Förordningen innehåller även en kostnadsventil. Om merkostnaden för en effektreserv som uteslutande innehåller förnybara produktionsresurser blir anmärkningsvärt stor, kan Svenska kraftnät välja anläggningar som inte producerar el av förnybara energikällor men som kostar mindre. </w:t>
      </w:r>
    </w:p>
    <w:p w14:paraId="00CD8AB4" w14:textId="77777777" w:rsidR="00400328" w:rsidRDefault="00400328" w:rsidP="00185D34">
      <w:pPr>
        <w:pStyle w:val="RKnormal"/>
      </w:pPr>
    </w:p>
    <w:p w14:paraId="684ED54F" w14:textId="77777777" w:rsidR="00F25B02" w:rsidRDefault="00400328" w:rsidP="00185D34">
      <w:pPr>
        <w:pStyle w:val="RKnormal"/>
      </w:pPr>
      <w:r>
        <w:t xml:space="preserve">Det är svårt att bedöma vilka produktionsresurser som kan komma att ingå i effektreserven med de nya krav som ställs i förordningen. Svårigheten beror på de omständigheter som beskrivits närmast ovan, </w:t>
      </w:r>
      <w:r w:rsidR="00676DD3">
        <w:t xml:space="preserve">lönsamheten för konventionell elproduktion och att det är oklart i vilken utsträckning investeringar är nödvändiga i vissa produktionsanläggningar för att anläggningarna ska kunna ingå i effektreserven. </w:t>
      </w:r>
    </w:p>
    <w:p w14:paraId="335A2133" w14:textId="77777777" w:rsidR="00F25B02" w:rsidRDefault="00F25B02" w:rsidP="00185D34">
      <w:pPr>
        <w:pStyle w:val="RKnormal"/>
      </w:pPr>
    </w:p>
    <w:p w14:paraId="23B87D3E" w14:textId="77777777" w:rsidR="00400328" w:rsidRDefault="00F25B02" w:rsidP="00185D34">
      <w:pPr>
        <w:pStyle w:val="RKnormal"/>
      </w:pPr>
      <w:r w:rsidRPr="008D7234">
        <w:t>Uppgifter har inhämtats om förutsättningarna för att ett av blocken i Karlshamns kraftverk, med en kapacitet på 330 MW, ska gå att driva med miljövänligt bränsle. Den årliga kostnaden uppgår i dag till 120 miljoner kronor före avskrivningar. Vid en övergång till miljöbränsle förväntas bränslekostnaderna öka med 30 procent och kostnaderna för drift- och underhåll med 10 procent. Den sammantagna merkostnaden blir då 10–20 miljoner kronor</w:t>
      </w:r>
      <w:r w:rsidR="003A20BF" w:rsidRPr="008D7234">
        <w:t xml:space="preserve"> vilket inkluderar avskrivningar</w:t>
      </w:r>
      <w:r w:rsidRPr="008D7234">
        <w:t xml:space="preserve">. </w:t>
      </w:r>
      <w:r w:rsidR="00CB3A06" w:rsidRPr="008D7234">
        <w:t xml:space="preserve">Det är dock svårt att dra några generella slutsatser utifrån </w:t>
      </w:r>
      <w:r w:rsidR="00EC0745" w:rsidRPr="008D7234">
        <w:t xml:space="preserve">endast </w:t>
      </w:r>
      <w:r w:rsidRPr="008D7234">
        <w:t>ett exempel</w:t>
      </w:r>
      <w:r w:rsidR="00CB3A06" w:rsidRPr="008D7234">
        <w:t>.</w:t>
      </w:r>
    </w:p>
    <w:p w14:paraId="77A97396" w14:textId="77777777" w:rsidR="00400328" w:rsidRDefault="00400328" w:rsidP="00185D34">
      <w:pPr>
        <w:pStyle w:val="RKnormal"/>
      </w:pPr>
    </w:p>
    <w:p w14:paraId="3AC426F2" w14:textId="77777777" w:rsidR="004C197A" w:rsidRDefault="004E7250" w:rsidP="00185D34">
      <w:pPr>
        <w:pStyle w:val="RKnormal"/>
      </w:pPr>
      <w:r>
        <w:t xml:space="preserve">Det är </w:t>
      </w:r>
      <w:r w:rsidR="00676DD3">
        <w:t xml:space="preserve">mot denna bakgrund </w:t>
      </w:r>
      <w:r>
        <w:t xml:space="preserve">svårt att </w:t>
      </w:r>
      <w:r w:rsidR="00400328">
        <w:t xml:space="preserve">i förväg </w:t>
      </w:r>
      <w:r w:rsidR="0031522E">
        <w:t>bedöma</w:t>
      </w:r>
      <w:r>
        <w:t xml:space="preserve"> kostnaden </w:t>
      </w:r>
      <w:r w:rsidR="00400328">
        <w:t>för</w:t>
      </w:r>
      <w:r>
        <w:t xml:space="preserve"> en effektreserv om 750 MW med tydlig miljöprofil. </w:t>
      </w:r>
      <w:r w:rsidR="0031522E">
        <w:t xml:space="preserve">Blir produktionsanbuden för höga </w:t>
      </w:r>
      <w:r>
        <w:t xml:space="preserve">kan det också vara aktuellt för </w:t>
      </w:r>
      <w:r w:rsidR="00F3008E">
        <w:t>S</w:t>
      </w:r>
      <w:r>
        <w:t xml:space="preserve">venska kraftnät att i större utsträckning använda efterfrågereduktioner trots att </w:t>
      </w:r>
      <w:r w:rsidR="00431557">
        <w:t xml:space="preserve">sådana resurser har sämre driftprestanda. </w:t>
      </w:r>
    </w:p>
    <w:p w14:paraId="1216E982" w14:textId="77777777" w:rsidR="005F7A04" w:rsidRDefault="005F7A04" w:rsidP="00185D34">
      <w:pPr>
        <w:pStyle w:val="RKnormal"/>
      </w:pPr>
    </w:p>
    <w:p w14:paraId="1408E0AB" w14:textId="77777777" w:rsidR="00D6797E" w:rsidRDefault="005F7A04" w:rsidP="00D6797E">
      <w:pPr>
        <w:pStyle w:val="RKnormal"/>
      </w:pPr>
      <w:r>
        <w:t xml:space="preserve">Svenska kraftnät finansierar effektreserven genom </w:t>
      </w:r>
      <w:r w:rsidR="009D21F4">
        <w:t>avgifter</w:t>
      </w:r>
      <w:r w:rsidR="00057397">
        <w:t xml:space="preserve"> som </w:t>
      </w:r>
      <w:r>
        <w:t>de balansansvariga företagen</w:t>
      </w:r>
      <w:r w:rsidR="00057397">
        <w:t xml:space="preserve"> betalar</w:t>
      </w:r>
      <w:r>
        <w:t xml:space="preserve">. </w:t>
      </w:r>
      <w:r w:rsidR="0031522E">
        <w:t xml:space="preserve">(Dessa avgifter förs dock i </w:t>
      </w:r>
      <w:r w:rsidR="003A518B">
        <w:t xml:space="preserve">förlängningen vidare till </w:t>
      </w:r>
      <w:r w:rsidR="006B2728">
        <w:t>el</w:t>
      </w:r>
      <w:r w:rsidR="0031522E">
        <w:t>ku</w:t>
      </w:r>
      <w:r w:rsidR="003A518B">
        <w:t>n</w:t>
      </w:r>
      <w:r w:rsidR="0031522E">
        <w:t xml:space="preserve">derna.) </w:t>
      </w:r>
      <w:r w:rsidR="00010C06">
        <w:t>E</w:t>
      </w:r>
      <w:r w:rsidR="004C197A">
        <w:t xml:space="preserve">ftersom </w:t>
      </w:r>
      <w:r w:rsidR="00057397">
        <w:t>S</w:t>
      </w:r>
      <w:r w:rsidR="004C197A">
        <w:t xml:space="preserve">venska kraftnät </w:t>
      </w:r>
      <w:r w:rsidR="00057397">
        <w:t xml:space="preserve">bör </w:t>
      </w:r>
      <w:r w:rsidR="00A73C50">
        <w:t>välja det mest kostnadseffektiva sättet för att uppnå den funktionalitet som krävs för effektreserven</w:t>
      </w:r>
      <w:r w:rsidR="00010C06">
        <w:t xml:space="preserve"> är det inte givet att kostnaden för effektreserven kommer att öka</w:t>
      </w:r>
      <w:r w:rsidR="00A73C50">
        <w:t xml:space="preserve">. </w:t>
      </w:r>
      <w:r w:rsidR="006D7751">
        <w:t>Se tabellen nedan för Svenska kraftnäts kostnader de tre senaste åren.</w:t>
      </w:r>
    </w:p>
    <w:p w14:paraId="339FBBB1" w14:textId="77777777" w:rsidR="00D6797E" w:rsidRDefault="00D6797E" w:rsidP="00D6797E">
      <w:pPr>
        <w:pStyle w:val="RKnormal"/>
      </w:pPr>
    </w:p>
    <w:tbl>
      <w:tblPr>
        <w:tblStyle w:val="Moderntabell"/>
        <w:tblW w:w="7905" w:type="dxa"/>
        <w:tblLook w:val="04A0" w:firstRow="1" w:lastRow="0" w:firstColumn="1" w:lastColumn="0" w:noHBand="0" w:noVBand="1"/>
      </w:tblPr>
      <w:tblGrid>
        <w:gridCol w:w="1094"/>
        <w:gridCol w:w="1314"/>
        <w:gridCol w:w="1499"/>
        <w:gridCol w:w="2534"/>
        <w:gridCol w:w="1464"/>
      </w:tblGrid>
      <w:tr w:rsidR="00D6797E" w14:paraId="1F95F2DF" w14:textId="77777777" w:rsidTr="00D95B02">
        <w:trPr>
          <w:cnfStyle w:val="100000000000" w:firstRow="1" w:lastRow="0" w:firstColumn="0" w:lastColumn="0" w:oddVBand="0" w:evenVBand="0" w:oddHBand="0" w:evenHBand="0" w:firstRowFirstColumn="0" w:firstRowLastColumn="0" w:lastRowFirstColumn="0" w:lastRowLastColumn="0"/>
        </w:trPr>
        <w:tc>
          <w:tcPr>
            <w:tcW w:w="1101" w:type="dxa"/>
          </w:tcPr>
          <w:p w14:paraId="11F0384A" w14:textId="77777777" w:rsidR="00D6797E" w:rsidRDefault="00D6797E" w:rsidP="00D95B02">
            <w:pPr>
              <w:pStyle w:val="RKnormal"/>
            </w:pPr>
            <w:r>
              <w:t>Period</w:t>
            </w:r>
          </w:p>
        </w:tc>
        <w:tc>
          <w:tcPr>
            <w:tcW w:w="1363" w:type="dxa"/>
          </w:tcPr>
          <w:p w14:paraId="47AC3132" w14:textId="77777777" w:rsidR="00D6797E" w:rsidRDefault="00D6797E" w:rsidP="00D95B02">
            <w:pPr>
              <w:pStyle w:val="RKnormal"/>
            </w:pPr>
            <w:r>
              <w:t>Totalt (MW)</w:t>
            </w:r>
          </w:p>
        </w:tc>
        <w:tc>
          <w:tcPr>
            <w:tcW w:w="1506" w:type="dxa"/>
          </w:tcPr>
          <w:p w14:paraId="33E81B7D" w14:textId="77777777" w:rsidR="00D6797E" w:rsidRDefault="00D6797E" w:rsidP="00D95B02">
            <w:pPr>
              <w:pStyle w:val="RKnormal"/>
            </w:pPr>
            <w:r>
              <w:t>Produktion (MW)</w:t>
            </w:r>
          </w:p>
        </w:tc>
        <w:tc>
          <w:tcPr>
            <w:tcW w:w="2430" w:type="dxa"/>
          </w:tcPr>
          <w:p w14:paraId="6A735975" w14:textId="77777777" w:rsidR="00D6797E" w:rsidRDefault="00D6797E" w:rsidP="00D95B02">
            <w:pPr>
              <w:pStyle w:val="RKnormal"/>
            </w:pPr>
            <w:r>
              <w:t>Efterfrågereduktioner (MW)</w:t>
            </w:r>
          </w:p>
        </w:tc>
        <w:tc>
          <w:tcPr>
            <w:tcW w:w="1505" w:type="dxa"/>
          </w:tcPr>
          <w:p w14:paraId="663BCF8B" w14:textId="77777777" w:rsidR="00D6797E" w:rsidRDefault="00D6797E" w:rsidP="00D95B02">
            <w:pPr>
              <w:pStyle w:val="RKnormal"/>
            </w:pPr>
            <w:r>
              <w:t>Kostnad (mnkr)</w:t>
            </w:r>
          </w:p>
        </w:tc>
      </w:tr>
      <w:tr w:rsidR="00D6797E" w14:paraId="23318DCA" w14:textId="77777777" w:rsidTr="00D95B02">
        <w:trPr>
          <w:cnfStyle w:val="000000100000" w:firstRow="0" w:lastRow="0" w:firstColumn="0" w:lastColumn="0" w:oddVBand="0" w:evenVBand="0" w:oddHBand="1" w:evenHBand="0" w:firstRowFirstColumn="0" w:firstRowLastColumn="0" w:lastRowFirstColumn="0" w:lastRowLastColumn="0"/>
        </w:trPr>
        <w:tc>
          <w:tcPr>
            <w:tcW w:w="1101" w:type="dxa"/>
          </w:tcPr>
          <w:p w14:paraId="569313A7" w14:textId="77777777" w:rsidR="00D6797E" w:rsidRDefault="00D6797E" w:rsidP="00D95B02">
            <w:pPr>
              <w:pStyle w:val="RKnormal"/>
            </w:pPr>
            <w:r>
              <w:t>2013/14</w:t>
            </w:r>
          </w:p>
        </w:tc>
        <w:tc>
          <w:tcPr>
            <w:tcW w:w="1363" w:type="dxa"/>
          </w:tcPr>
          <w:p w14:paraId="6365C1D0" w14:textId="77777777" w:rsidR="00D6797E" w:rsidRDefault="00D6797E" w:rsidP="00D95B02">
            <w:pPr>
              <w:pStyle w:val="RKnormal"/>
            </w:pPr>
            <w:r>
              <w:t>1500</w:t>
            </w:r>
          </w:p>
        </w:tc>
        <w:tc>
          <w:tcPr>
            <w:tcW w:w="1506" w:type="dxa"/>
          </w:tcPr>
          <w:p w14:paraId="51C921BA" w14:textId="77777777" w:rsidR="00D6797E" w:rsidRDefault="00D6797E" w:rsidP="00D95B02">
            <w:pPr>
              <w:pStyle w:val="RKnormal"/>
            </w:pPr>
            <w:r>
              <w:t>958</w:t>
            </w:r>
          </w:p>
        </w:tc>
        <w:tc>
          <w:tcPr>
            <w:tcW w:w="2430" w:type="dxa"/>
          </w:tcPr>
          <w:p w14:paraId="2C1FBC41" w14:textId="77777777" w:rsidR="00D6797E" w:rsidRDefault="00D6797E" w:rsidP="00D95B02">
            <w:pPr>
              <w:pStyle w:val="RKnormal"/>
            </w:pPr>
            <w:r>
              <w:t>531</w:t>
            </w:r>
          </w:p>
        </w:tc>
        <w:tc>
          <w:tcPr>
            <w:tcW w:w="1505" w:type="dxa"/>
          </w:tcPr>
          <w:p w14:paraId="5885E1BA" w14:textId="77777777" w:rsidR="00D6797E" w:rsidRDefault="00D6797E" w:rsidP="00D95B02">
            <w:pPr>
              <w:pStyle w:val="RKnormal"/>
            </w:pPr>
            <w:r>
              <w:t xml:space="preserve">138 </w:t>
            </w:r>
          </w:p>
        </w:tc>
      </w:tr>
      <w:tr w:rsidR="00D6797E" w14:paraId="7DB418B0" w14:textId="77777777" w:rsidTr="00D95B02">
        <w:trPr>
          <w:cnfStyle w:val="000000010000" w:firstRow="0" w:lastRow="0" w:firstColumn="0" w:lastColumn="0" w:oddVBand="0" w:evenVBand="0" w:oddHBand="0" w:evenHBand="1" w:firstRowFirstColumn="0" w:firstRowLastColumn="0" w:lastRowFirstColumn="0" w:lastRowLastColumn="0"/>
        </w:trPr>
        <w:tc>
          <w:tcPr>
            <w:tcW w:w="1101" w:type="dxa"/>
          </w:tcPr>
          <w:p w14:paraId="3F194378" w14:textId="77777777" w:rsidR="00D6797E" w:rsidRDefault="00D6797E" w:rsidP="00D95B02">
            <w:pPr>
              <w:pStyle w:val="RKnormal"/>
            </w:pPr>
            <w:r>
              <w:t>2014/15</w:t>
            </w:r>
          </w:p>
        </w:tc>
        <w:tc>
          <w:tcPr>
            <w:tcW w:w="1363" w:type="dxa"/>
          </w:tcPr>
          <w:p w14:paraId="473E1834" w14:textId="77777777" w:rsidR="00D6797E" w:rsidRDefault="00D6797E" w:rsidP="00D95B02">
            <w:pPr>
              <w:pStyle w:val="RKnormal"/>
            </w:pPr>
            <w:r>
              <w:t>1500</w:t>
            </w:r>
          </w:p>
        </w:tc>
        <w:tc>
          <w:tcPr>
            <w:tcW w:w="1506" w:type="dxa"/>
          </w:tcPr>
          <w:p w14:paraId="343352EA" w14:textId="77777777" w:rsidR="00D6797E" w:rsidRDefault="00D6797E" w:rsidP="00D95B02">
            <w:pPr>
              <w:pStyle w:val="RKnormal"/>
            </w:pPr>
            <w:r>
              <w:t>874</w:t>
            </w:r>
          </w:p>
        </w:tc>
        <w:tc>
          <w:tcPr>
            <w:tcW w:w="2430" w:type="dxa"/>
          </w:tcPr>
          <w:p w14:paraId="3000B48C" w14:textId="77777777" w:rsidR="00D6797E" w:rsidRDefault="00D6797E" w:rsidP="00D95B02">
            <w:pPr>
              <w:pStyle w:val="RKnormal"/>
            </w:pPr>
            <w:r>
              <w:t>626</w:t>
            </w:r>
          </w:p>
        </w:tc>
        <w:tc>
          <w:tcPr>
            <w:tcW w:w="1505" w:type="dxa"/>
          </w:tcPr>
          <w:p w14:paraId="261B3B06" w14:textId="77777777" w:rsidR="00D6797E" w:rsidRDefault="00D6797E" w:rsidP="00D95B02">
            <w:pPr>
              <w:pStyle w:val="RKnormal"/>
            </w:pPr>
            <w:r>
              <w:t>112</w:t>
            </w:r>
          </w:p>
        </w:tc>
      </w:tr>
      <w:tr w:rsidR="00D6797E" w14:paraId="64264AFA" w14:textId="77777777" w:rsidTr="00D95B02">
        <w:trPr>
          <w:cnfStyle w:val="000000100000" w:firstRow="0" w:lastRow="0" w:firstColumn="0" w:lastColumn="0" w:oddVBand="0" w:evenVBand="0" w:oddHBand="1" w:evenHBand="0" w:firstRowFirstColumn="0" w:firstRowLastColumn="0" w:lastRowFirstColumn="0" w:lastRowLastColumn="0"/>
        </w:trPr>
        <w:tc>
          <w:tcPr>
            <w:tcW w:w="1101" w:type="dxa"/>
          </w:tcPr>
          <w:p w14:paraId="01240B08" w14:textId="77777777" w:rsidR="00D6797E" w:rsidRDefault="00D6797E" w:rsidP="00D95B02">
            <w:pPr>
              <w:pStyle w:val="RKnormal"/>
            </w:pPr>
            <w:r>
              <w:t>2015/16</w:t>
            </w:r>
          </w:p>
        </w:tc>
        <w:tc>
          <w:tcPr>
            <w:tcW w:w="1363" w:type="dxa"/>
          </w:tcPr>
          <w:p w14:paraId="5EC7E561" w14:textId="77777777" w:rsidR="00D6797E" w:rsidRDefault="00D6797E" w:rsidP="00D95B02">
            <w:pPr>
              <w:pStyle w:val="RKnormal"/>
            </w:pPr>
            <w:r>
              <w:t>1000</w:t>
            </w:r>
          </w:p>
        </w:tc>
        <w:tc>
          <w:tcPr>
            <w:tcW w:w="1506" w:type="dxa"/>
          </w:tcPr>
          <w:p w14:paraId="35B7B247" w14:textId="77777777" w:rsidR="00D6797E" w:rsidRDefault="00D6797E" w:rsidP="00D95B02">
            <w:pPr>
              <w:pStyle w:val="RKnormal"/>
            </w:pPr>
            <w:r>
              <w:t>660</w:t>
            </w:r>
          </w:p>
        </w:tc>
        <w:tc>
          <w:tcPr>
            <w:tcW w:w="2430" w:type="dxa"/>
          </w:tcPr>
          <w:p w14:paraId="633F0C48" w14:textId="77777777" w:rsidR="00D6797E" w:rsidRDefault="00D6797E" w:rsidP="00D95B02">
            <w:pPr>
              <w:pStyle w:val="RKnormal"/>
            </w:pPr>
            <w:r>
              <w:t>340</w:t>
            </w:r>
          </w:p>
        </w:tc>
        <w:tc>
          <w:tcPr>
            <w:tcW w:w="1505" w:type="dxa"/>
          </w:tcPr>
          <w:p w14:paraId="04C712BB" w14:textId="77777777" w:rsidR="00D6797E" w:rsidRDefault="00D6797E" w:rsidP="00D95B02">
            <w:pPr>
              <w:pStyle w:val="RKnormal"/>
            </w:pPr>
            <w:r>
              <w:t>64</w:t>
            </w:r>
          </w:p>
        </w:tc>
      </w:tr>
    </w:tbl>
    <w:p w14:paraId="2C1737C2" w14:textId="77777777" w:rsidR="00D6797E" w:rsidRDefault="00D6797E" w:rsidP="00D6797E">
      <w:pPr>
        <w:pStyle w:val="RKnormal"/>
      </w:pPr>
    </w:p>
    <w:p w14:paraId="11C2C646" w14:textId="77777777" w:rsidR="002D23DD" w:rsidRDefault="00567E73" w:rsidP="002D23DD">
      <w:pPr>
        <w:pStyle w:val="RKnormal"/>
      </w:pPr>
      <w:r>
        <w:t xml:space="preserve">Ökade kostnader för effektreservsupphandlingen kommer innebära att Sveriges elkunder får ökade kostnader. Det bör dock noteras att kostnaden för effektreservsupphandlingen utgör en mycket begränsad del av en elkunds totala elkostnad. För </w:t>
      </w:r>
      <w:r w:rsidR="006B2728">
        <w:t xml:space="preserve">exempelvis </w:t>
      </w:r>
      <w:r>
        <w:t xml:space="preserve">en lägenhetskund innebär det 1-3 kronor per år. </w:t>
      </w:r>
    </w:p>
    <w:p w14:paraId="783D3921" w14:textId="77777777" w:rsidR="00010C06" w:rsidRDefault="00010C06" w:rsidP="002D23DD">
      <w:pPr>
        <w:pStyle w:val="RKnormal"/>
      </w:pPr>
    </w:p>
    <w:p w14:paraId="5FC58EB0" w14:textId="77777777" w:rsidR="002D23DD" w:rsidRDefault="002D23DD" w:rsidP="002D23DD">
      <w:pPr>
        <w:pStyle w:val="RKnormal"/>
      </w:pPr>
      <w:r>
        <w:t>Den totala kostnaden för effektreserven bör också ställas i relation till kostnaden för en avkortningssituation. Kostnaden för en timmes avkortning vid maximal kapacitet på Nord</w:t>
      </w:r>
      <w:r w:rsidR="00010C06">
        <w:t xml:space="preserve"> Pool Spot </w:t>
      </w:r>
      <w:r>
        <w:t>uppgår till cirka 500 miljoner kronor. I den beräkningen ingår inte alla samhällekono</w:t>
      </w:r>
      <w:r w:rsidR="00010C06">
        <w:softHyphen/>
      </w:r>
      <w:r>
        <w:t>miska kostnader, såsom väldfärdsförluster för hushållskunder och störda industriella processer med minskad produktion som följd. Avbrutna elleveranser är förenade med stora kostnader. Energimarknadsinspekt</w:t>
      </w:r>
      <w:r w:rsidR="00010C06">
        <w:softHyphen/>
      </w:r>
      <w:r>
        <w:t>ionen har i rapporten Leveranssäkerheten i elnäten 2012 – Statistik och analys av elavbrotten i Sverige (Ei R2014:04) beräknat kostnaden för samhället av de icke aviserade elvabrotten (25 500 MW). Summan uppgår till cirka 900 miljoner kronor årligen. Kostnaden för effektreserven uppgick till 112 miljoner kronor år 2014.</w:t>
      </w:r>
    </w:p>
    <w:p w14:paraId="38FFDEC3" w14:textId="77777777" w:rsidR="00431557" w:rsidRPr="00FE3AA0" w:rsidRDefault="00431557" w:rsidP="007C02FC">
      <w:pPr>
        <w:pStyle w:val="Rubrik2"/>
      </w:pPr>
      <w:r w:rsidRPr="00FE3AA0">
        <w:t>Miljöaspekter</w:t>
      </w:r>
    </w:p>
    <w:p w14:paraId="4B11BD19" w14:textId="77777777" w:rsidR="00D6797E" w:rsidRDefault="00D6797E" w:rsidP="00D6797E">
      <w:pPr>
        <w:pStyle w:val="RKnormal"/>
      </w:pPr>
      <w:r>
        <w:t xml:space="preserve">Som presenterats ovan har aktivering av effektreserven </w:t>
      </w:r>
      <w:r w:rsidR="003A518B">
        <w:t xml:space="preserve">historiskt sett </w:t>
      </w:r>
      <w:r>
        <w:t>skett vid ett fåtal tillfällen</w:t>
      </w:r>
      <w:r w:rsidR="003A518B">
        <w:t xml:space="preserve"> och drifttiden har varit mycket begränsad</w:t>
      </w:r>
      <w:r>
        <w:t xml:space="preserve">. Av den anledningen har miljökonsekvenserna av effektreserven varit ringa även om de produktionsresurser som ingått eldats med olja eller kol. </w:t>
      </w:r>
      <w:r w:rsidR="003A518B">
        <w:t>De anläggningar som ingår i effektreserven har också moderna miljötillstånd.</w:t>
      </w:r>
      <w:r w:rsidR="00E0634D" w:rsidRPr="00E0634D">
        <w:t xml:space="preserve"> </w:t>
      </w:r>
      <w:r w:rsidR="00E0634D">
        <w:t xml:space="preserve">De produktionsresurser som i dagsläget ingår i </w:t>
      </w:r>
      <w:r w:rsidR="00E0634D">
        <w:lastRenderedPageBreak/>
        <w:t>effektreserven ingår också i utsläppshandelssystemet EU-ETS och betalar således för de utsläpp de åsamkar miljön.</w:t>
      </w:r>
    </w:p>
    <w:p w14:paraId="02905542" w14:textId="77777777" w:rsidR="00D6797E" w:rsidRDefault="00D6797E" w:rsidP="00D6797E">
      <w:pPr>
        <w:pStyle w:val="RKnormal"/>
      </w:pPr>
    </w:p>
    <w:p w14:paraId="76236B0A" w14:textId="77777777" w:rsidR="00D6797E" w:rsidRDefault="00D6797E" w:rsidP="00D6797E">
      <w:pPr>
        <w:pStyle w:val="RKnormal"/>
      </w:pPr>
      <w:r>
        <w:t xml:space="preserve">Anledningen till att effektreserven </w:t>
      </w:r>
      <w:r w:rsidR="003A518B">
        <w:t xml:space="preserve">nu </w:t>
      </w:r>
      <w:r>
        <w:t xml:space="preserve">föreslås förlängas </w:t>
      </w:r>
      <w:r w:rsidR="00BE53A6">
        <w:t>är</w:t>
      </w:r>
      <w:r>
        <w:t xml:space="preserve"> att behovet kan komma att öka. Av den anledningen är det en dålig approximation att använda historiska data för att bedöma konsekvenserna av förslaget i förordningen.</w:t>
      </w:r>
    </w:p>
    <w:p w14:paraId="47CE42F7" w14:textId="77777777" w:rsidR="00D6797E" w:rsidRPr="00431557" w:rsidRDefault="00D6797E" w:rsidP="00185D34">
      <w:pPr>
        <w:pStyle w:val="RKnormal"/>
        <w:rPr>
          <w:b/>
        </w:rPr>
      </w:pPr>
    </w:p>
    <w:p w14:paraId="4EEBD087" w14:textId="77777777" w:rsidR="003F6CE7" w:rsidRDefault="00060EE5" w:rsidP="00185D34">
      <w:pPr>
        <w:pStyle w:val="RKnormal"/>
      </w:pPr>
      <w:r>
        <w:t xml:space="preserve">Syftet </w:t>
      </w:r>
      <w:r w:rsidR="00431557">
        <w:t xml:space="preserve">med </w:t>
      </w:r>
      <w:r>
        <w:t>förordnings</w:t>
      </w:r>
      <w:r w:rsidR="00431557">
        <w:t xml:space="preserve">förslaget är att göra effektreserven </w:t>
      </w:r>
      <w:r w:rsidR="00E72F2C">
        <w:t>mer miljövänlig</w:t>
      </w:r>
      <w:r>
        <w:t xml:space="preserve"> i pe</w:t>
      </w:r>
      <w:r w:rsidR="00E0634D">
        <w:t xml:space="preserve">rspektivet av utsläpp av </w:t>
      </w:r>
      <w:r>
        <w:t>koldioxid</w:t>
      </w:r>
      <w:r w:rsidR="00E72F2C">
        <w:t>.</w:t>
      </w:r>
      <w:r w:rsidR="00431557">
        <w:t xml:space="preserve"> Vilk</w:t>
      </w:r>
      <w:r>
        <w:t>a</w:t>
      </w:r>
      <w:r w:rsidR="00431557">
        <w:t xml:space="preserve"> miljöeffekte</w:t>
      </w:r>
      <w:r>
        <w:t>r</w:t>
      </w:r>
      <w:r w:rsidR="00431557">
        <w:t xml:space="preserve"> förslage</w:t>
      </w:r>
      <w:r w:rsidR="00E72F2C">
        <w:t>n</w:t>
      </w:r>
      <w:r w:rsidR="00431557">
        <w:t xml:space="preserve"> i förord</w:t>
      </w:r>
      <w:r w:rsidR="00D6797E">
        <w:t xml:space="preserve">ningen </w:t>
      </w:r>
      <w:r>
        <w:t>i praktiken kommer innebära</w:t>
      </w:r>
      <w:r w:rsidR="00E72F2C">
        <w:t xml:space="preserve"> </w:t>
      </w:r>
      <w:r w:rsidR="00431557">
        <w:t xml:space="preserve">beror </w:t>
      </w:r>
      <w:r w:rsidR="005D3EB7">
        <w:t>på</w:t>
      </w:r>
      <w:r w:rsidR="00431557">
        <w:t xml:space="preserve"> hur ofta </w:t>
      </w:r>
      <w:r>
        <w:t xml:space="preserve">den del av </w:t>
      </w:r>
      <w:r w:rsidR="00431557">
        <w:t xml:space="preserve">effektreserven </w:t>
      </w:r>
      <w:r>
        <w:t xml:space="preserve">som består av produktion </w:t>
      </w:r>
      <w:r w:rsidR="00431557">
        <w:t xml:space="preserve">kommer att </w:t>
      </w:r>
      <w:r>
        <w:t>användas</w:t>
      </w:r>
      <w:r w:rsidR="005D3EB7">
        <w:t>.</w:t>
      </w:r>
      <w:r w:rsidR="00A73C50">
        <w:t xml:space="preserve"> </w:t>
      </w:r>
      <w:r w:rsidR="005D3EB7">
        <w:t xml:space="preserve">Detta </w:t>
      </w:r>
      <w:r w:rsidR="00A73C50">
        <w:t>i sin tur beror på tillgängliga produktionsresurser, efterfrågan samt kapacitet på kablar internt och till andra länder</w:t>
      </w:r>
      <w:r w:rsidR="005D3EB7">
        <w:t>,</w:t>
      </w:r>
      <w:r w:rsidR="00D6797E">
        <w:t xml:space="preserve"> vilket beskrivits i </w:t>
      </w:r>
      <w:r w:rsidR="00444A8A">
        <w:t xml:space="preserve">den remitterade </w:t>
      </w:r>
      <w:r w:rsidR="00D6797E">
        <w:t xml:space="preserve">promemorian </w:t>
      </w:r>
      <w:r w:rsidR="00444A8A">
        <w:t>Effektfrågan</w:t>
      </w:r>
      <w:r w:rsidR="00A73C50">
        <w:t>. I</w:t>
      </w:r>
      <w:r>
        <w:t xml:space="preserve"> det </w:t>
      </w:r>
      <w:r w:rsidR="00A73C50">
        <w:t>fall effektreserven</w:t>
      </w:r>
      <w:r w:rsidR="00431557">
        <w:t xml:space="preserve"> körs i samma utsträckning som tidigare kommer utsläppen från effektreserven att minska</w:t>
      </w:r>
      <w:r w:rsidR="002F33EC">
        <w:t xml:space="preserve"> med anledning av </w:t>
      </w:r>
      <w:r>
        <w:t>kraven på användande av</w:t>
      </w:r>
      <w:r w:rsidR="00010C06">
        <w:t xml:space="preserve"> anläggningar som producerar el av</w:t>
      </w:r>
      <w:r>
        <w:t xml:space="preserve"> förnybar energi</w:t>
      </w:r>
      <w:r w:rsidR="00431557">
        <w:t>. Hur mycket beror på vilka produktionsenheter som kan komma att ingå i reserven.</w:t>
      </w:r>
      <w:r w:rsidR="00A73C50">
        <w:t xml:space="preserve"> Vilka resurser som ingår beror av det bud som lämnats vid upphandlingsförfarandet</w:t>
      </w:r>
      <w:r w:rsidR="00E0634D">
        <w:t xml:space="preserve">. </w:t>
      </w:r>
      <w:r>
        <w:t>Miljökonsekvenserna är alltså svåra att förutse</w:t>
      </w:r>
    </w:p>
    <w:p w14:paraId="47AB99DE" w14:textId="77777777" w:rsidR="003F6CE7" w:rsidRPr="00532CF7" w:rsidRDefault="00C11321" w:rsidP="007C02FC">
      <w:pPr>
        <w:pStyle w:val="Rubrik2"/>
      </w:pPr>
      <w:r>
        <w:t xml:space="preserve">Konsekvenser för </w:t>
      </w:r>
      <w:r w:rsidR="003F6CE7" w:rsidRPr="00532CF7">
        <w:t>Svenska kraftnät</w:t>
      </w:r>
    </w:p>
    <w:p w14:paraId="1D3AB6C9" w14:textId="77777777" w:rsidR="003F6CE7" w:rsidRDefault="00FC282A" w:rsidP="003F6CE7">
      <w:pPr>
        <w:pStyle w:val="RKnormal"/>
      </w:pPr>
      <w:r>
        <w:t>I förhållande till den nu gällande förordningen innebär f</w:t>
      </w:r>
      <w:r w:rsidR="003F6CE7">
        <w:t xml:space="preserve">örslaget att Svenska kraftnät fortsätter att upphandla en effektreserv </w:t>
      </w:r>
      <w:r w:rsidR="00967DE8">
        <w:t>men med tillägget att reserven</w:t>
      </w:r>
      <w:r w:rsidR="00F06A6A">
        <w:t xml:space="preserve"> får en </w:t>
      </w:r>
      <w:r w:rsidR="00CD1E6E">
        <w:t xml:space="preserve">miljövänligare </w:t>
      </w:r>
      <w:r w:rsidR="00F06A6A">
        <w:t>profil</w:t>
      </w:r>
      <w:r w:rsidR="003F6CE7">
        <w:t>.</w:t>
      </w:r>
    </w:p>
    <w:p w14:paraId="70830E64" w14:textId="77777777" w:rsidR="00CD1E6E" w:rsidRDefault="00CD1E6E" w:rsidP="003F6CE7">
      <w:pPr>
        <w:pStyle w:val="RKnormal"/>
      </w:pPr>
    </w:p>
    <w:p w14:paraId="6ECBF634" w14:textId="77777777" w:rsidR="003F6CE7" w:rsidRDefault="003F6CE7" w:rsidP="003F6CE7">
      <w:pPr>
        <w:pStyle w:val="RKnormal"/>
      </w:pPr>
      <w:r>
        <w:t xml:space="preserve">Den föreslagna ordningen innebär inga förändringar avseende fördelningen mellan </w:t>
      </w:r>
      <w:r w:rsidR="00FC282A">
        <w:t xml:space="preserve">produktionskapacitet </w:t>
      </w:r>
      <w:r>
        <w:t xml:space="preserve">och förbrukningsreduktioner. </w:t>
      </w:r>
    </w:p>
    <w:p w14:paraId="21B12E0A" w14:textId="77777777" w:rsidR="00F06A6A" w:rsidRDefault="00F06A6A" w:rsidP="003F6CE7">
      <w:pPr>
        <w:pStyle w:val="RKnormal"/>
      </w:pPr>
    </w:p>
    <w:p w14:paraId="254006EF" w14:textId="77777777" w:rsidR="003F6CE7" w:rsidRDefault="003F6CE7" w:rsidP="003F6CE7">
      <w:pPr>
        <w:pStyle w:val="RKnormal"/>
      </w:pPr>
      <w:r>
        <w:t xml:space="preserve">Kostnaden för effektreserven </w:t>
      </w:r>
      <w:r w:rsidR="0057046E">
        <w:t>kan komma att öka</w:t>
      </w:r>
      <w:r w:rsidR="00FC282A">
        <w:t>,</w:t>
      </w:r>
      <w:r w:rsidR="00F06A6A">
        <w:t xml:space="preserve"> </w:t>
      </w:r>
      <w:r w:rsidR="00FC282A">
        <w:t xml:space="preserve">om </w:t>
      </w:r>
      <w:r w:rsidR="00F06A6A">
        <w:t xml:space="preserve">kostnaden för </w:t>
      </w:r>
      <w:r w:rsidR="0057046E">
        <w:t>investeringar</w:t>
      </w:r>
      <w:r w:rsidR="00270581" w:rsidRPr="00270581">
        <w:t xml:space="preserve"> </w:t>
      </w:r>
      <w:r w:rsidR="007C2451">
        <w:t>till mer</w:t>
      </w:r>
      <w:r w:rsidR="00270581">
        <w:t xml:space="preserve"> miljövänlig produktion</w:t>
      </w:r>
      <w:r w:rsidR="00FC282A">
        <w:t>,</w:t>
      </w:r>
      <w:r w:rsidR="0057046E">
        <w:t xml:space="preserve"> som krävs för att ställa om de produktionsresurser som i dagsläget ingår i effektreserven</w:t>
      </w:r>
      <w:r w:rsidR="009D450A">
        <w:t>,</w:t>
      </w:r>
      <w:r w:rsidR="00F06A6A">
        <w:t xml:space="preserve"> kan </w:t>
      </w:r>
      <w:r w:rsidR="0057046E">
        <w:t>föras över till kund</w:t>
      </w:r>
      <w:r>
        <w:t>.</w:t>
      </w:r>
      <w:r w:rsidR="0057046E">
        <w:t xml:space="preserve"> Om kostnaden ökar kan</w:t>
      </w:r>
      <w:r>
        <w:t xml:space="preserve"> Svenska kraftnät för</w:t>
      </w:r>
      <w:r w:rsidR="0057046E">
        <w:t>a</w:t>
      </w:r>
      <w:r>
        <w:t xml:space="preserve"> över kostnaden till de balansansvariga. Kostnaden för effektreserven belastar</w:t>
      </w:r>
      <w:r w:rsidR="009D21F4">
        <w:t xml:space="preserve"> även</w:t>
      </w:r>
      <w:r>
        <w:t xml:space="preserve"> hela kundkollektivet</w:t>
      </w:r>
      <w:r w:rsidR="009D21F4">
        <w:t>,</w:t>
      </w:r>
      <w:r>
        <w:t xml:space="preserve"> </w:t>
      </w:r>
      <w:r w:rsidR="00FC282A">
        <w:t>inte endast</w:t>
      </w:r>
      <w:r>
        <w:t xml:space="preserve"> den del av landet som kan drabbas av en eventuell effektbrist.</w:t>
      </w:r>
    </w:p>
    <w:p w14:paraId="2456B560" w14:textId="77777777" w:rsidR="006D135B" w:rsidRDefault="006D135B" w:rsidP="007C02FC">
      <w:pPr>
        <w:pStyle w:val="Rubrik2"/>
      </w:pPr>
      <w:r>
        <w:t>Andra aktörer som berörs</w:t>
      </w:r>
    </w:p>
    <w:p w14:paraId="2D78E058" w14:textId="77777777" w:rsidR="006D135B" w:rsidRDefault="006D135B" w:rsidP="006D135B">
      <w:pPr>
        <w:pStyle w:val="RKnormal"/>
      </w:pPr>
      <w:r>
        <w:t xml:space="preserve">De företag </w:t>
      </w:r>
      <w:r w:rsidR="00FC282A">
        <w:t xml:space="preserve">och andra aktörer </w:t>
      </w:r>
      <w:r>
        <w:t>som berörs av förslaget är balansansvariga företag, elproducenter samt Sveriges elkunder och stora elförbrukare. De aktörer som ingår i effektreserven (producenter samt industrier) är generellt stora aktörer. De aktörer som bidrar med efterfrågeflexibilitet är generellt stora elförbrukande processindustrier. De producenter som deltar har hittills varit Vattenfall</w:t>
      </w:r>
      <w:r w:rsidR="000872F8">
        <w:t xml:space="preserve"> AB (Stenungsunds kraftverk)</w:t>
      </w:r>
      <w:r>
        <w:t xml:space="preserve">, E.ON </w:t>
      </w:r>
      <w:r w:rsidR="000872F8">
        <w:lastRenderedPageBreak/>
        <w:t>Sverige AB (Karlshamnsverket)</w:t>
      </w:r>
      <w:r>
        <w:t>och Mälarenergi</w:t>
      </w:r>
      <w:r w:rsidR="000872F8">
        <w:t xml:space="preserve"> AB (Aros kraftvärmeverk)</w:t>
      </w:r>
      <w:r>
        <w:t xml:space="preserve">. </w:t>
      </w:r>
    </w:p>
    <w:p w14:paraId="114359DA" w14:textId="77777777" w:rsidR="0057046E" w:rsidRPr="007C02FC" w:rsidRDefault="0057046E" w:rsidP="007C02FC">
      <w:pPr>
        <w:pStyle w:val="Rubrik3"/>
      </w:pPr>
      <w:r w:rsidRPr="007C02FC">
        <w:t>Balansansvariga</w:t>
      </w:r>
    </w:p>
    <w:p w14:paraId="5FDAB76A" w14:textId="77777777" w:rsidR="007C02FC" w:rsidRDefault="007C02FC" w:rsidP="0057046E">
      <w:pPr>
        <w:pStyle w:val="RKnormal"/>
      </w:pPr>
      <w:r w:rsidRPr="007C02FC">
        <w:t xml:space="preserve">De balansansvariga är cirka 30 till antalet och inkluderar både de stora kraftaktörerna </w:t>
      </w:r>
      <w:r>
        <w:t>och</w:t>
      </w:r>
      <w:r w:rsidRPr="007C02FC">
        <w:t xml:space="preserve"> mindre sådana. </w:t>
      </w:r>
      <w:r>
        <w:t>Det finns inget krav</w:t>
      </w:r>
      <w:r w:rsidRPr="007C02FC">
        <w:t xml:space="preserve"> att de balansansvariga ska ha </w:t>
      </w:r>
      <w:r>
        <w:t>egen</w:t>
      </w:r>
      <w:r w:rsidRPr="007C02FC">
        <w:t xml:space="preserve"> produktion för att kunna balansera uttag respektive inmatning. Ordningen möjliggör för ett stort antal aktörer som anser det lönsamt att agera som balansansvarig</w:t>
      </w:r>
      <w:r>
        <w:t>a</w:t>
      </w:r>
      <w:r w:rsidRPr="007C02FC">
        <w:t xml:space="preserve"> att vara med på marknaden.</w:t>
      </w:r>
    </w:p>
    <w:p w14:paraId="64BB58B0" w14:textId="77777777" w:rsidR="007C02FC" w:rsidRDefault="007C02FC" w:rsidP="0057046E">
      <w:pPr>
        <w:pStyle w:val="RKnormal"/>
      </w:pPr>
    </w:p>
    <w:p w14:paraId="02464975" w14:textId="77777777" w:rsidR="0057046E" w:rsidRDefault="0057046E" w:rsidP="0057046E">
      <w:pPr>
        <w:pStyle w:val="RKnormal"/>
      </w:pPr>
      <w:r>
        <w:t>Svenska kraftnät finansierar effektreserven genom de balansansvariga företagen. En ökad kostnad för effektreserven kommer innebära ökade kostnader för de balansansvariga. De balansansvariga har i sin tur möjlighet att föra över kostnaderna till sina kunder.</w:t>
      </w:r>
    </w:p>
    <w:p w14:paraId="5D7CC819" w14:textId="77777777" w:rsidR="00F06A6A" w:rsidRPr="00F06A6A" w:rsidRDefault="00F06A6A" w:rsidP="007C02FC">
      <w:pPr>
        <w:pStyle w:val="Rubrik3"/>
      </w:pPr>
      <w:r w:rsidRPr="00F06A6A">
        <w:t>Elkunder</w:t>
      </w:r>
    </w:p>
    <w:p w14:paraId="17154293" w14:textId="77777777" w:rsidR="00F06A6A" w:rsidRDefault="00F06A6A" w:rsidP="00F06A6A">
      <w:pPr>
        <w:pStyle w:val="RKnormal"/>
      </w:pPr>
      <w:r>
        <w:t xml:space="preserve">Ökade kostnader för effektreservsupphandlingen kommer innebära att Sveriges elkunder får ökade kostnader. Det bör dock noteras att kostnaden för effektreservsupphandlingen utgör en mycket begränsad del av en elkunds totala elkostnad. För </w:t>
      </w:r>
      <w:r w:rsidR="008A5830">
        <w:t xml:space="preserve">exempelvis </w:t>
      </w:r>
      <w:r>
        <w:t xml:space="preserve">en lägenhetskund innebär det </w:t>
      </w:r>
      <w:r w:rsidR="005A0109">
        <w:t xml:space="preserve">en kostnad om </w:t>
      </w:r>
      <w:r>
        <w:t>1</w:t>
      </w:r>
      <w:r w:rsidR="00010C06">
        <w:t>–</w:t>
      </w:r>
      <w:r>
        <w:t>3 kronor per år. Den totala kostnaden för effektreserven bör också ställas i relation till kostnaden för en av</w:t>
      </w:r>
      <w:r w:rsidR="00216A6B">
        <w:t>brott</w:t>
      </w:r>
      <w:r>
        <w:t xml:space="preserve">ssituation. I och med att Svenska kraftnät i stor utsträckning kan välja det mest kostnadseffektiva sättet av produktionsresurser eller förbrukningsreduktioner ges </w:t>
      </w:r>
      <w:r w:rsidR="00216A6B">
        <w:t xml:space="preserve">också </w:t>
      </w:r>
      <w:r>
        <w:t>stora möjligheter för elkunder att bidra med energieffektivitet och nya intäkter.</w:t>
      </w:r>
    </w:p>
    <w:p w14:paraId="25A7C391" w14:textId="77777777" w:rsidR="00A73C50" w:rsidRDefault="00A73C50" w:rsidP="007C02FC">
      <w:pPr>
        <w:pStyle w:val="Rubrik2"/>
      </w:pPr>
      <w:r>
        <w:t>Påverkan på konkurrensförhållanden för berörda företag</w:t>
      </w:r>
    </w:p>
    <w:p w14:paraId="30065410" w14:textId="77777777" w:rsidR="00FE43AF" w:rsidRPr="00FE43AF" w:rsidRDefault="00010C06" w:rsidP="00185D34">
      <w:pPr>
        <w:pStyle w:val="RKnormal"/>
      </w:pPr>
      <w:r>
        <w:t xml:space="preserve">När det gäller </w:t>
      </w:r>
      <w:r w:rsidR="00FE43AF">
        <w:t xml:space="preserve">de förändrade miljökraven i </w:t>
      </w:r>
      <w:r w:rsidR="003F6CE7">
        <w:t>effektreserven har ett övergripande mål varit att göra för</w:t>
      </w:r>
      <w:r w:rsidR="00484BA6">
        <w:t>far</w:t>
      </w:r>
      <w:r w:rsidR="003F6CE7">
        <w:t xml:space="preserve">andet neutralt mellan aktörer. </w:t>
      </w:r>
    </w:p>
    <w:p w14:paraId="7DD3C11A" w14:textId="77777777" w:rsidR="00A73C50" w:rsidRDefault="00A73C50" w:rsidP="007C02FC">
      <w:pPr>
        <w:pStyle w:val="Rubrik2"/>
      </w:pPr>
      <w:r>
        <w:t>Särskild hänsyn till små företag vid reglernas utformning</w:t>
      </w:r>
    </w:p>
    <w:p w14:paraId="3FA3F3BD" w14:textId="77777777" w:rsidR="00A73C50" w:rsidRPr="00A73C50" w:rsidRDefault="00A73C50" w:rsidP="00185D34">
      <w:pPr>
        <w:pStyle w:val="RKnormal"/>
      </w:pPr>
      <w:r>
        <w:t>Såsom angetts ovan är det främst större producenter och större förbrukare som ingår i effektreserven</w:t>
      </w:r>
      <w:r w:rsidR="00484BA6">
        <w:t xml:space="preserve"> eftersom e</w:t>
      </w:r>
      <w:r w:rsidR="00FE43AF">
        <w:t>ffektreserven</w:t>
      </w:r>
      <w:r w:rsidR="00484BA6">
        <w:t xml:space="preserve"> generellt</w:t>
      </w:r>
      <w:r w:rsidR="00FE43AF">
        <w:t xml:space="preserve"> behöver få stora tillskott av effekt. Därför </w:t>
      </w:r>
      <w:r w:rsidR="007C2451">
        <w:t xml:space="preserve">behöver </w:t>
      </w:r>
      <w:r w:rsidR="00FE43AF">
        <w:t xml:space="preserve">inte någon hänsyn </w:t>
      </w:r>
      <w:r w:rsidR="00F66AB7">
        <w:t xml:space="preserve">tas </w:t>
      </w:r>
      <w:r w:rsidR="00FE43AF">
        <w:t xml:space="preserve">till mindre aktörer. </w:t>
      </w:r>
    </w:p>
    <w:p w14:paraId="0FCA65B7" w14:textId="77777777" w:rsidR="00591BE1" w:rsidRDefault="00591BE1" w:rsidP="00591BE1">
      <w:pPr>
        <w:pStyle w:val="Rubrik2"/>
      </w:pPr>
      <w:r>
        <w:t>Förhållandet till EU-rätten</w:t>
      </w:r>
    </w:p>
    <w:p w14:paraId="62ACDEF7" w14:textId="77777777" w:rsidR="00207BD2" w:rsidRDefault="001C7B35" w:rsidP="006544C5">
      <w:pPr>
        <w:pStyle w:val="RKnormal"/>
      </w:pPr>
      <w:r>
        <w:t xml:space="preserve">När det gäller förhållandet till EU-rätten finns skäl att uppmärksamma frågan om upphandlingen av effektreserv kan </w:t>
      </w:r>
      <w:r w:rsidR="00207BD2">
        <w:t>innebära</w:t>
      </w:r>
      <w:r>
        <w:t xml:space="preserve"> </w:t>
      </w:r>
      <w:r w:rsidR="00207BD2" w:rsidRPr="00207BD2">
        <w:t xml:space="preserve">att statligt stöd i den mening som avses i artikel 107.1 i fördraget om Europeiska unionens funktionssätt </w:t>
      </w:r>
      <w:r w:rsidR="00F85A91">
        <w:t xml:space="preserve">(EUF-fördraget) </w:t>
      </w:r>
      <w:r w:rsidR="00207BD2" w:rsidRPr="00207BD2">
        <w:t>ges till en</w:t>
      </w:r>
      <w:r w:rsidR="00207BD2">
        <w:t xml:space="preserve"> elproducent eller någon annan. </w:t>
      </w:r>
    </w:p>
    <w:p w14:paraId="1CF2A07F" w14:textId="77777777" w:rsidR="00207BD2" w:rsidRDefault="00207BD2" w:rsidP="006544C5">
      <w:pPr>
        <w:pStyle w:val="RKnormal"/>
      </w:pPr>
    </w:p>
    <w:p w14:paraId="2303D7CB" w14:textId="77777777" w:rsidR="00F85A91" w:rsidRDefault="00207BD2" w:rsidP="006544C5">
      <w:pPr>
        <w:pStyle w:val="RKnormal"/>
      </w:pPr>
      <w:r>
        <w:lastRenderedPageBreak/>
        <w:t xml:space="preserve">Syftet med miljökraven är att minska effektreservens miljöpåverkan. En åtgärd kan dock utgöra statsstöd även om det inte är det direkta syftet </w:t>
      </w:r>
      <w:r w:rsidR="00F85A91">
        <w:t>med åtgärden</w:t>
      </w:r>
      <w:r>
        <w:t>. Det är alltså inte uteslutet att ett avtal med en elproducent eller någo</w:t>
      </w:r>
      <w:r w:rsidR="00F85A91">
        <w:t>t</w:t>
      </w:r>
      <w:r>
        <w:t xml:space="preserve"> annat företag i det enskilda fallet</w:t>
      </w:r>
      <w:r w:rsidRPr="00207BD2">
        <w:t xml:space="preserve"> </w:t>
      </w:r>
      <w:r w:rsidR="00413814" w:rsidRPr="00413814">
        <w:t>inte uppfyller de s.k. Altmarkkriterierna (se EU-domstolens dom i målet C-280/00) vilket innebär att avtalet i sådana fall kan utgöra</w:t>
      </w:r>
      <w:r w:rsidR="00413814">
        <w:t xml:space="preserve"> </w:t>
      </w:r>
      <w:r w:rsidRPr="00207BD2">
        <w:t>statligt stöd</w:t>
      </w:r>
      <w:r>
        <w:t>. Mot den bakgrunden finns i 2</w:t>
      </w:r>
      <w:r w:rsidR="00F85A91">
        <w:t> </w:t>
      </w:r>
      <w:r>
        <w:t xml:space="preserve">§ </w:t>
      </w:r>
      <w:r w:rsidR="00F85A91">
        <w:t xml:space="preserve">i </w:t>
      </w:r>
      <w:r>
        <w:t xml:space="preserve">förslaget en särskild bestämmelse som innebär att det statliga stödet i sådant fall </w:t>
      </w:r>
      <w:r w:rsidRPr="00207BD2">
        <w:t>ska ges i enlighet med Europeiska kommissionens beslut 2012/21/EU av den 20 december 2011 om tillämpningen av artikel 106.2 i fördraget om Europeiska unionens funktionssätt på statligt stöd i form av ersättning för allmännyttiga tjänster som beviljas vissa företag som fått i uppdrag att tillhandahålla tjänster av allmänt ekonomiskt intresse.</w:t>
      </w:r>
      <w:r w:rsidR="00F85A91">
        <w:t xml:space="preserve"> Genom att Svenska kraftnät håller sig inom de ramar som anges i kommissionens beslut kan stödet ges utan att det är nödvändigt att anmäla åtgärden </w:t>
      </w:r>
      <w:r w:rsidR="00F85A91" w:rsidRPr="00F85A91">
        <w:t xml:space="preserve">enligt artikel 108.3 i </w:t>
      </w:r>
      <w:r w:rsidR="00F85A91">
        <w:t>EUF-</w:t>
      </w:r>
      <w:r w:rsidR="00F85A91" w:rsidRPr="00F85A91">
        <w:t>fördraget</w:t>
      </w:r>
      <w:r w:rsidR="006544C5">
        <w:t>.</w:t>
      </w:r>
    </w:p>
    <w:p w14:paraId="657A4E4D" w14:textId="77777777" w:rsidR="006158A2" w:rsidRDefault="006158A2" w:rsidP="006158A2">
      <w:pPr>
        <w:pStyle w:val="Rubrik2"/>
      </w:pPr>
      <w:r>
        <w:t>Tidpunkten för ikraftträdandet och informationssinsatser</w:t>
      </w:r>
    </w:p>
    <w:p w14:paraId="201ACBB9" w14:textId="77777777" w:rsidR="006158A2" w:rsidRPr="006158A2" w:rsidRDefault="006158A2" w:rsidP="006544C5">
      <w:pPr>
        <w:pStyle w:val="RKnormal"/>
      </w:pPr>
      <w:r>
        <w:t xml:space="preserve">Det bedöms inte krävas några särskilda hänsyn när det gäller tidpunkten för ikraftträdandet </w:t>
      </w:r>
      <w:r w:rsidR="00B20218">
        <w:t xml:space="preserve">eller finnas behov av speciella informationsinsatser. </w:t>
      </w:r>
    </w:p>
    <w:p w14:paraId="3F063353" w14:textId="77777777" w:rsidR="00431557" w:rsidRPr="003F06FE" w:rsidRDefault="00431557" w:rsidP="006158A2">
      <w:pPr>
        <w:pStyle w:val="RKnormal"/>
        <w:rPr>
          <w:b/>
        </w:rPr>
      </w:pPr>
    </w:p>
    <w:sectPr w:rsidR="00431557" w:rsidRPr="003F06FE" w:rsidSect="002E0D89">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FC5E" w14:textId="77777777" w:rsidR="000D1F8B" w:rsidRDefault="000D1F8B">
      <w:r>
        <w:separator/>
      </w:r>
    </w:p>
  </w:endnote>
  <w:endnote w:type="continuationSeparator" w:id="0">
    <w:p w14:paraId="3A4C814A" w14:textId="77777777" w:rsidR="000D1F8B" w:rsidRDefault="000D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DD0D" w14:textId="77777777" w:rsidR="000D1F8B" w:rsidRDefault="000D1F8B">
      <w:r>
        <w:separator/>
      </w:r>
    </w:p>
  </w:footnote>
  <w:footnote w:type="continuationSeparator" w:id="0">
    <w:p w14:paraId="6911C2C6" w14:textId="77777777" w:rsidR="000D1F8B" w:rsidRDefault="000D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C9C5" w14:textId="77777777" w:rsidR="00E80146" w:rsidRDefault="00E80146" w:rsidP="002E0D89">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35CD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49B1B0" w14:textId="77777777">
      <w:trPr>
        <w:cantSplit/>
      </w:trPr>
      <w:tc>
        <w:tcPr>
          <w:tcW w:w="3119" w:type="dxa"/>
        </w:tcPr>
        <w:p w14:paraId="040F762B" w14:textId="77777777" w:rsidR="00E80146" w:rsidRDefault="00E80146" w:rsidP="002E0D89">
          <w:pPr>
            <w:pStyle w:val="Sidhuvud"/>
            <w:spacing w:line="200" w:lineRule="atLeast"/>
            <w:ind w:right="360" w:firstLine="360"/>
            <w:rPr>
              <w:rFonts w:ascii="TradeGothic" w:hAnsi="TradeGothic"/>
              <w:b/>
              <w:bCs/>
              <w:sz w:val="16"/>
            </w:rPr>
          </w:pPr>
        </w:p>
      </w:tc>
      <w:tc>
        <w:tcPr>
          <w:tcW w:w="4111" w:type="dxa"/>
          <w:tcMar>
            <w:left w:w="567" w:type="dxa"/>
          </w:tcMar>
        </w:tcPr>
        <w:p w14:paraId="6034FCCD" w14:textId="77777777" w:rsidR="00E80146" w:rsidRDefault="00E80146">
          <w:pPr>
            <w:pStyle w:val="Sidhuvud"/>
            <w:ind w:right="360"/>
          </w:pPr>
        </w:p>
      </w:tc>
      <w:tc>
        <w:tcPr>
          <w:tcW w:w="1525" w:type="dxa"/>
        </w:tcPr>
        <w:p w14:paraId="6BD3329D" w14:textId="77777777" w:rsidR="00E80146" w:rsidRDefault="00E80146">
          <w:pPr>
            <w:pStyle w:val="Sidhuvud"/>
            <w:ind w:right="360"/>
          </w:pPr>
        </w:p>
      </w:tc>
    </w:tr>
  </w:tbl>
  <w:p w14:paraId="4632822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A4E5" w14:textId="77777777" w:rsidR="00E80146" w:rsidRDefault="00E80146" w:rsidP="002E0D89">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35CDB">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A0581A" w14:textId="77777777">
      <w:trPr>
        <w:cantSplit/>
      </w:trPr>
      <w:tc>
        <w:tcPr>
          <w:tcW w:w="3119" w:type="dxa"/>
        </w:tcPr>
        <w:p w14:paraId="4BFEE8EA" w14:textId="77777777" w:rsidR="00E80146" w:rsidRDefault="00E80146" w:rsidP="002E0D89">
          <w:pPr>
            <w:pStyle w:val="Sidhuvud"/>
            <w:spacing w:line="200" w:lineRule="atLeast"/>
            <w:ind w:right="360" w:firstLine="360"/>
            <w:rPr>
              <w:rFonts w:ascii="TradeGothic" w:hAnsi="TradeGothic"/>
              <w:b/>
              <w:bCs/>
              <w:sz w:val="16"/>
            </w:rPr>
          </w:pPr>
        </w:p>
      </w:tc>
      <w:tc>
        <w:tcPr>
          <w:tcW w:w="4111" w:type="dxa"/>
          <w:tcMar>
            <w:left w:w="567" w:type="dxa"/>
          </w:tcMar>
        </w:tcPr>
        <w:p w14:paraId="0D3A3F4A" w14:textId="77777777" w:rsidR="00E80146" w:rsidRDefault="00E80146">
          <w:pPr>
            <w:pStyle w:val="Sidhuvud"/>
            <w:ind w:right="360"/>
          </w:pPr>
        </w:p>
      </w:tc>
      <w:tc>
        <w:tcPr>
          <w:tcW w:w="1525" w:type="dxa"/>
        </w:tcPr>
        <w:p w14:paraId="0E9AAB0A" w14:textId="77777777" w:rsidR="00E80146" w:rsidRDefault="00E80146">
          <w:pPr>
            <w:pStyle w:val="Sidhuvud"/>
            <w:ind w:right="360"/>
          </w:pPr>
        </w:p>
      </w:tc>
    </w:tr>
  </w:tbl>
  <w:p w14:paraId="4860C3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C65E" w14:textId="77777777" w:rsidR="002E0D89" w:rsidRDefault="00E30482">
    <w:pPr>
      <w:framePr w:w="2948" w:h="1321" w:hRule="exact" w:wrap="notBeside" w:vAnchor="page" w:hAnchor="page" w:x="1362" w:y="653"/>
    </w:pPr>
    <w:r>
      <w:rPr>
        <w:noProof/>
        <w:lang w:eastAsia="sv-SE"/>
      </w:rPr>
      <w:drawing>
        <wp:inline distT="0" distB="0" distL="0" distR="0" wp14:anchorId="27679FB8" wp14:editId="4D672EE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03E913" w14:textId="77777777" w:rsidR="00E80146" w:rsidRPr="002E0D89" w:rsidRDefault="00E80146">
    <w:pPr>
      <w:pStyle w:val="RKrubrik"/>
      <w:keepNext w:val="0"/>
      <w:tabs>
        <w:tab w:val="clear" w:pos="1134"/>
        <w:tab w:val="clear" w:pos="2835"/>
      </w:tabs>
      <w:spacing w:before="0" w:after="0" w:line="320" w:lineRule="atLeast"/>
      <w:rPr>
        <w:bCs/>
      </w:rPr>
    </w:pPr>
  </w:p>
  <w:p w14:paraId="3F117184" w14:textId="77777777" w:rsidR="00E80146" w:rsidRPr="002E0D89" w:rsidRDefault="00E80146">
    <w:pPr>
      <w:rPr>
        <w:rFonts w:ascii="TradeGothic" w:hAnsi="TradeGothic"/>
        <w:b/>
        <w:bCs/>
        <w:spacing w:val="12"/>
        <w:sz w:val="22"/>
      </w:rPr>
    </w:pPr>
  </w:p>
  <w:p w14:paraId="1B3CB936" w14:textId="77777777" w:rsidR="00E80146" w:rsidRPr="002E0D89" w:rsidRDefault="00E80146">
    <w:pPr>
      <w:pStyle w:val="RKrubrik"/>
      <w:keepNext w:val="0"/>
      <w:tabs>
        <w:tab w:val="clear" w:pos="1134"/>
        <w:tab w:val="clear" w:pos="2835"/>
      </w:tabs>
      <w:spacing w:before="0" w:after="0" w:line="320" w:lineRule="atLeast"/>
      <w:rPr>
        <w:bCs/>
      </w:rPr>
    </w:pPr>
  </w:p>
  <w:p w14:paraId="039A0172" w14:textId="77777777" w:rsidR="00E80146" w:rsidRPr="002E0D89"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4FE"/>
    <w:multiLevelType w:val="hybridMultilevel"/>
    <w:tmpl w:val="0F56B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60"/>
    <w:docVar w:name="docDep" w:val="11"/>
    <w:docVar w:name="docSprak" w:val="0"/>
  </w:docVars>
  <w:rsids>
    <w:rsidRoot w:val="002E0D89"/>
    <w:rsid w:val="00010C06"/>
    <w:rsid w:val="00057397"/>
    <w:rsid w:val="00060EE5"/>
    <w:rsid w:val="00083128"/>
    <w:rsid w:val="000872F8"/>
    <w:rsid w:val="00096CBD"/>
    <w:rsid w:val="000A05DA"/>
    <w:rsid w:val="000C79C9"/>
    <w:rsid w:val="000D1F8B"/>
    <w:rsid w:val="000F65D8"/>
    <w:rsid w:val="001251B8"/>
    <w:rsid w:val="00150384"/>
    <w:rsid w:val="00160901"/>
    <w:rsid w:val="001805B7"/>
    <w:rsid w:val="00185D34"/>
    <w:rsid w:val="00197006"/>
    <w:rsid w:val="001C4BFF"/>
    <w:rsid w:val="001C7B35"/>
    <w:rsid w:val="001F385A"/>
    <w:rsid w:val="00207BD2"/>
    <w:rsid w:val="00213305"/>
    <w:rsid w:val="00216A6B"/>
    <w:rsid w:val="00225604"/>
    <w:rsid w:val="00270581"/>
    <w:rsid w:val="0027720E"/>
    <w:rsid w:val="0029590D"/>
    <w:rsid w:val="002A58ED"/>
    <w:rsid w:val="002C236F"/>
    <w:rsid w:val="002D23DD"/>
    <w:rsid w:val="002E0D89"/>
    <w:rsid w:val="002F33EC"/>
    <w:rsid w:val="002F66FB"/>
    <w:rsid w:val="00312FF0"/>
    <w:rsid w:val="0031522E"/>
    <w:rsid w:val="003615AC"/>
    <w:rsid w:val="00367B1C"/>
    <w:rsid w:val="00380AB2"/>
    <w:rsid w:val="003A20BF"/>
    <w:rsid w:val="003A518B"/>
    <w:rsid w:val="003D015A"/>
    <w:rsid w:val="003D0E92"/>
    <w:rsid w:val="003D3969"/>
    <w:rsid w:val="003F06FE"/>
    <w:rsid w:val="003F6CE7"/>
    <w:rsid w:val="00400328"/>
    <w:rsid w:val="00413814"/>
    <w:rsid w:val="00431557"/>
    <w:rsid w:val="00444A8A"/>
    <w:rsid w:val="00454F7E"/>
    <w:rsid w:val="00484BA6"/>
    <w:rsid w:val="004A328D"/>
    <w:rsid w:val="004C197A"/>
    <w:rsid w:val="004C4A9A"/>
    <w:rsid w:val="004E7250"/>
    <w:rsid w:val="004E7F0D"/>
    <w:rsid w:val="005306A1"/>
    <w:rsid w:val="00532CF7"/>
    <w:rsid w:val="00535CDB"/>
    <w:rsid w:val="00567E73"/>
    <w:rsid w:val="0057046E"/>
    <w:rsid w:val="00575C02"/>
    <w:rsid w:val="0058762B"/>
    <w:rsid w:val="00591BE1"/>
    <w:rsid w:val="005A0109"/>
    <w:rsid w:val="005D3EB7"/>
    <w:rsid w:val="005F097F"/>
    <w:rsid w:val="005F2A1B"/>
    <w:rsid w:val="005F7A04"/>
    <w:rsid w:val="006158A2"/>
    <w:rsid w:val="00641FD3"/>
    <w:rsid w:val="006544C5"/>
    <w:rsid w:val="00665194"/>
    <w:rsid w:val="00676DD3"/>
    <w:rsid w:val="006B1EEA"/>
    <w:rsid w:val="006B2728"/>
    <w:rsid w:val="006D135B"/>
    <w:rsid w:val="006D7751"/>
    <w:rsid w:val="006E4E11"/>
    <w:rsid w:val="007242A3"/>
    <w:rsid w:val="00770EEE"/>
    <w:rsid w:val="00773504"/>
    <w:rsid w:val="0077556D"/>
    <w:rsid w:val="0077602A"/>
    <w:rsid w:val="007A6855"/>
    <w:rsid w:val="007C02FC"/>
    <w:rsid w:val="007C2451"/>
    <w:rsid w:val="007F7973"/>
    <w:rsid w:val="008225EC"/>
    <w:rsid w:val="00873CB2"/>
    <w:rsid w:val="008A5830"/>
    <w:rsid w:val="008D71BA"/>
    <w:rsid w:val="008D7234"/>
    <w:rsid w:val="008E0D5C"/>
    <w:rsid w:val="0092027A"/>
    <w:rsid w:val="00955E31"/>
    <w:rsid w:val="00962330"/>
    <w:rsid w:val="00967DE8"/>
    <w:rsid w:val="00992E72"/>
    <w:rsid w:val="009A1FC3"/>
    <w:rsid w:val="009D21F4"/>
    <w:rsid w:val="009D3569"/>
    <w:rsid w:val="009D450A"/>
    <w:rsid w:val="009E3FB1"/>
    <w:rsid w:val="00A32854"/>
    <w:rsid w:val="00A73C50"/>
    <w:rsid w:val="00AB4D2D"/>
    <w:rsid w:val="00AF26D1"/>
    <w:rsid w:val="00AF6A5E"/>
    <w:rsid w:val="00B136C7"/>
    <w:rsid w:val="00B20218"/>
    <w:rsid w:val="00B347A0"/>
    <w:rsid w:val="00BA0C5F"/>
    <w:rsid w:val="00BD0857"/>
    <w:rsid w:val="00BE53A6"/>
    <w:rsid w:val="00C11321"/>
    <w:rsid w:val="00C2728F"/>
    <w:rsid w:val="00CB3A06"/>
    <w:rsid w:val="00CC63F9"/>
    <w:rsid w:val="00CC76BC"/>
    <w:rsid w:val="00CD1E6E"/>
    <w:rsid w:val="00CD48CE"/>
    <w:rsid w:val="00D01871"/>
    <w:rsid w:val="00D133D7"/>
    <w:rsid w:val="00D3129F"/>
    <w:rsid w:val="00D6797E"/>
    <w:rsid w:val="00DD5551"/>
    <w:rsid w:val="00E0634D"/>
    <w:rsid w:val="00E27631"/>
    <w:rsid w:val="00E30482"/>
    <w:rsid w:val="00E72F2C"/>
    <w:rsid w:val="00E80146"/>
    <w:rsid w:val="00E820E8"/>
    <w:rsid w:val="00E904D0"/>
    <w:rsid w:val="00E95C6E"/>
    <w:rsid w:val="00E97F1D"/>
    <w:rsid w:val="00EA1AD8"/>
    <w:rsid w:val="00EC0745"/>
    <w:rsid w:val="00EC25F9"/>
    <w:rsid w:val="00EC549C"/>
    <w:rsid w:val="00ED583F"/>
    <w:rsid w:val="00F06A6A"/>
    <w:rsid w:val="00F23B36"/>
    <w:rsid w:val="00F25B02"/>
    <w:rsid w:val="00F3008E"/>
    <w:rsid w:val="00F347AD"/>
    <w:rsid w:val="00F419BB"/>
    <w:rsid w:val="00F66AB7"/>
    <w:rsid w:val="00F7391F"/>
    <w:rsid w:val="00F8004E"/>
    <w:rsid w:val="00F85A91"/>
    <w:rsid w:val="00F93CBA"/>
    <w:rsid w:val="00FB42FA"/>
    <w:rsid w:val="00FC282A"/>
    <w:rsid w:val="00FE3AA0"/>
    <w:rsid w:val="00FE4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next w:val="Brdtextmedindrag"/>
    <w:link w:val="BrdtextChar"/>
    <w:qFormat/>
    <w:rsid w:val="00185D34"/>
    <w:pPr>
      <w:tabs>
        <w:tab w:val="left" w:pos="227"/>
        <w:tab w:val="left" w:pos="397"/>
        <w:tab w:val="left" w:pos="3062"/>
      </w:tabs>
      <w:overflowPunct/>
      <w:autoSpaceDE/>
      <w:autoSpaceDN/>
      <w:adjustRightInd/>
      <w:spacing w:line="232" w:lineRule="exact"/>
      <w:jc w:val="both"/>
      <w:textAlignment w:val="auto"/>
    </w:pPr>
    <w:rPr>
      <w:rFonts w:ascii="Times New Roman" w:eastAsia="Calibri" w:hAnsi="Times New Roman"/>
      <w:sz w:val="19"/>
      <w:szCs w:val="22"/>
    </w:rPr>
  </w:style>
  <w:style w:type="character" w:customStyle="1" w:styleId="BrdtextChar">
    <w:name w:val="Brödtext Char"/>
    <w:basedOn w:val="Standardstycketeckensnitt"/>
    <w:link w:val="Brdtext"/>
    <w:rsid w:val="00185D34"/>
    <w:rPr>
      <w:rFonts w:eastAsia="Calibri"/>
      <w:sz w:val="19"/>
      <w:szCs w:val="22"/>
      <w:lang w:eastAsia="en-US"/>
    </w:rPr>
  </w:style>
  <w:style w:type="paragraph" w:styleId="Brdtextmedindrag">
    <w:name w:val="Body Text Indent"/>
    <w:basedOn w:val="Normal"/>
    <w:link w:val="BrdtextmedindragChar"/>
    <w:qFormat/>
    <w:rsid w:val="00185D34"/>
    <w:pPr>
      <w:tabs>
        <w:tab w:val="left" w:pos="227"/>
        <w:tab w:val="left" w:pos="397"/>
        <w:tab w:val="left" w:pos="3062"/>
      </w:tabs>
      <w:overflowPunct/>
      <w:autoSpaceDE/>
      <w:autoSpaceDN/>
      <w:adjustRightInd/>
      <w:spacing w:line="232" w:lineRule="exact"/>
      <w:ind w:firstLine="227"/>
      <w:jc w:val="both"/>
      <w:textAlignment w:val="auto"/>
    </w:pPr>
    <w:rPr>
      <w:rFonts w:ascii="Times New Roman" w:eastAsia="Calibri" w:hAnsi="Times New Roman"/>
      <w:sz w:val="19"/>
      <w:szCs w:val="22"/>
    </w:rPr>
  </w:style>
  <w:style w:type="character" w:customStyle="1" w:styleId="BrdtextmedindragChar">
    <w:name w:val="Brödtext med indrag Char"/>
    <w:basedOn w:val="Standardstycketeckensnitt"/>
    <w:link w:val="Brdtextmedindrag"/>
    <w:rsid w:val="00185D34"/>
    <w:rPr>
      <w:rFonts w:eastAsia="Calibri"/>
      <w:sz w:val="19"/>
      <w:szCs w:val="22"/>
      <w:lang w:eastAsia="en-US"/>
    </w:rPr>
  </w:style>
  <w:style w:type="paragraph" w:customStyle="1" w:styleId="Rubrikluft3-5">
    <w:name w:val="Rubrikluft 3-5"/>
    <w:basedOn w:val="Brdtext"/>
    <w:next w:val="Brdtext"/>
    <w:link w:val="Rubrikluft3-5Char"/>
    <w:uiPriority w:val="11"/>
    <w:rsid w:val="00185D34"/>
    <w:pPr>
      <w:keepLines/>
      <w:spacing w:line="120" w:lineRule="exact"/>
    </w:pPr>
    <w:rPr>
      <w:sz w:val="8"/>
    </w:rPr>
  </w:style>
  <w:style w:type="character" w:customStyle="1" w:styleId="Rubrikluft3-5Char">
    <w:name w:val="Rubrikluft 3-5 Char"/>
    <w:link w:val="Rubrikluft3-5"/>
    <w:uiPriority w:val="11"/>
    <w:rsid w:val="00185D34"/>
    <w:rPr>
      <w:rFonts w:eastAsia="Calibri"/>
      <w:sz w:val="8"/>
      <w:szCs w:val="22"/>
      <w:lang w:eastAsia="en-US"/>
    </w:rPr>
  </w:style>
  <w:style w:type="paragraph" w:styleId="Normalwebb">
    <w:name w:val="Normal (Web)"/>
    <w:basedOn w:val="Normal"/>
    <w:uiPriority w:val="99"/>
    <w:unhideWhenUsed/>
    <w:rsid w:val="00EC549C"/>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table" w:styleId="Tabellrutnt">
    <w:name w:val="Table Grid"/>
    <w:basedOn w:val="Normaltabell"/>
    <w:rsid w:val="00EC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andardtabell1">
    <w:name w:val="Table Classic 1"/>
    <w:basedOn w:val="Normaltabell"/>
    <w:rsid w:val="00EC549C"/>
    <w:pPr>
      <w:overflowPunct w:val="0"/>
      <w:autoSpaceDE w:val="0"/>
      <w:autoSpaceDN w:val="0"/>
      <w:adjustRightInd w:val="0"/>
      <w:spacing w:line="32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rsid w:val="00A3285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32854"/>
    <w:rPr>
      <w:rFonts w:ascii="Tahoma" w:hAnsi="Tahoma" w:cs="Tahoma"/>
      <w:sz w:val="16"/>
      <w:szCs w:val="16"/>
      <w:lang w:eastAsia="en-US"/>
    </w:rPr>
  </w:style>
  <w:style w:type="table" w:styleId="Moderntabell">
    <w:name w:val="Table Contemporary"/>
    <w:basedOn w:val="Normaltabell"/>
    <w:rsid w:val="00083128"/>
    <w:pPr>
      <w:overflowPunct w:val="0"/>
      <w:autoSpaceDE w:val="0"/>
      <w:autoSpaceDN w:val="0"/>
      <w:adjustRightInd w:val="0"/>
      <w:spacing w:line="32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Kommentarsreferens">
    <w:name w:val="annotation reference"/>
    <w:basedOn w:val="Standardstycketeckensnitt"/>
    <w:rsid w:val="000C79C9"/>
    <w:rPr>
      <w:sz w:val="16"/>
      <w:szCs w:val="16"/>
    </w:rPr>
  </w:style>
  <w:style w:type="paragraph" w:styleId="Kommentarer">
    <w:name w:val="annotation text"/>
    <w:basedOn w:val="Normal"/>
    <w:link w:val="KommentarerChar"/>
    <w:rsid w:val="000C79C9"/>
    <w:pPr>
      <w:spacing w:line="240" w:lineRule="auto"/>
    </w:pPr>
    <w:rPr>
      <w:sz w:val="20"/>
    </w:rPr>
  </w:style>
  <w:style w:type="character" w:customStyle="1" w:styleId="KommentarerChar">
    <w:name w:val="Kommentarer Char"/>
    <w:basedOn w:val="Standardstycketeckensnitt"/>
    <w:link w:val="Kommentarer"/>
    <w:rsid w:val="000C79C9"/>
    <w:rPr>
      <w:rFonts w:ascii="OrigGarmnd BT" w:hAnsi="OrigGarmnd BT"/>
      <w:lang w:eastAsia="en-US"/>
    </w:rPr>
  </w:style>
  <w:style w:type="paragraph" w:styleId="Kommentarsmne">
    <w:name w:val="annotation subject"/>
    <w:basedOn w:val="Kommentarer"/>
    <w:next w:val="Kommentarer"/>
    <w:link w:val="KommentarsmneChar"/>
    <w:rsid w:val="000C79C9"/>
    <w:rPr>
      <w:b/>
      <w:bCs/>
    </w:rPr>
  </w:style>
  <w:style w:type="character" w:customStyle="1" w:styleId="KommentarsmneChar">
    <w:name w:val="Kommentarsämne Char"/>
    <w:basedOn w:val="KommentarerChar"/>
    <w:link w:val="Kommentarsmne"/>
    <w:rsid w:val="000C79C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next w:val="Brdtextmedindrag"/>
    <w:link w:val="BrdtextChar"/>
    <w:qFormat/>
    <w:rsid w:val="00185D34"/>
    <w:pPr>
      <w:tabs>
        <w:tab w:val="left" w:pos="227"/>
        <w:tab w:val="left" w:pos="397"/>
        <w:tab w:val="left" w:pos="3062"/>
      </w:tabs>
      <w:overflowPunct/>
      <w:autoSpaceDE/>
      <w:autoSpaceDN/>
      <w:adjustRightInd/>
      <w:spacing w:line="232" w:lineRule="exact"/>
      <w:jc w:val="both"/>
      <w:textAlignment w:val="auto"/>
    </w:pPr>
    <w:rPr>
      <w:rFonts w:ascii="Times New Roman" w:eastAsia="Calibri" w:hAnsi="Times New Roman"/>
      <w:sz w:val="19"/>
      <w:szCs w:val="22"/>
    </w:rPr>
  </w:style>
  <w:style w:type="character" w:customStyle="1" w:styleId="BrdtextChar">
    <w:name w:val="Brödtext Char"/>
    <w:basedOn w:val="Standardstycketeckensnitt"/>
    <w:link w:val="Brdtext"/>
    <w:rsid w:val="00185D34"/>
    <w:rPr>
      <w:rFonts w:eastAsia="Calibri"/>
      <w:sz w:val="19"/>
      <w:szCs w:val="22"/>
      <w:lang w:eastAsia="en-US"/>
    </w:rPr>
  </w:style>
  <w:style w:type="paragraph" w:styleId="Brdtextmedindrag">
    <w:name w:val="Body Text Indent"/>
    <w:basedOn w:val="Normal"/>
    <w:link w:val="BrdtextmedindragChar"/>
    <w:qFormat/>
    <w:rsid w:val="00185D34"/>
    <w:pPr>
      <w:tabs>
        <w:tab w:val="left" w:pos="227"/>
        <w:tab w:val="left" w:pos="397"/>
        <w:tab w:val="left" w:pos="3062"/>
      </w:tabs>
      <w:overflowPunct/>
      <w:autoSpaceDE/>
      <w:autoSpaceDN/>
      <w:adjustRightInd/>
      <w:spacing w:line="232" w:lineRule="exact"/>
      <w:ind w:firstLine="227"/>
      <w:jc w:val="both"/>
      <w:textAlignment w:val="auto"/>
    </w:pPr>
    <w:rPr>
      <w:rFonts w:ascii="Times New Roman" w:eastAsia="Calibri" w:hAnsi="Times New Roman"/>
      <w:sz w:val="19"/>
      <w:szCs w:val="22"/>
    </w:rPr>
  </w:style>
  <w:style w:type="character" w:customStyle="1" w:styleId="BrdtextmedindragChar">
    <w:name w:val="Brödtext med indrag Char"/>
    <w:basedOn w:val="Standardstycketeckensnitt"/>
    <w:link w:val="Brdtextmedindrag"/>
    <w:rsid w:val="00185D34"/>
    <w:rPr>
      <w:rFonts w:eastAsia="Calibri"/>
      <w:sz w:val="19"/>
      <w:szCs w:val="22"/>
      <w:lang w:eastAsia="en-US"/>
    </w:rPr>
  </w:style>
  <w:style w:type="paragraph" w:customStyle="1" w:styleId="Rubrikluft3-5">
    <w:name w:val="Rubrikluft 3-5"/>
    <w:basedOn w:val="Brdtext"/>
    <w:next w:val="Brdtext"/>
    <w:link w:val="Rubrikluft3-5Char"/>
    <w:uiPriority w:val="11"/>
    <w:rsid w:val="00185D34"/>
    <w:pPr>
      <w:keepLines/>
      <w:spacing w:line="120" w:lineRule="exact"/>
    </w:pPr>
    <w:rPr>
      <w:sz w:val="8"/>
    </w:rPr>
  </w:style>
  <w:style w:type="character" w:customStyle="1" w:styleId="Rubrikluft3-5Char">
    <w:name w:val="Rubrikluft 3-5 Char"/>
    <w:link w:val="Rubrikluft3-5"/>
    <w:uiPriority w:val="11"/>
    <w:rsid w:val="00185D34"/>
    <w:rPr>
      <w:rFonts w:eastAsia="Calibri"/>
      <w:sz w:val="8"/>
      <w:szCs w:val="22"/>
      <w:lang w:eastAsia="en-US"/>
    </w:rPr>
  </w:style>
  <w:style w:type="paragraph" w:styleId="Normalwebb">
    <w:name w:val="Normal (Web)"/>
    <w:basedOn w:val="Normal"/>
    <w:uiPriority w:val="99"/>
    <w:unhideWhenUsed/>
    <w:rsid w:val="00EC549C"/>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table" w:styleId="Tabellrutnt">
    <w:name w:val="Table Grid"/>
    <w:basedOn w:val="Normaltabell"/>
    <w:rsid w:val="00EC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andardtabell1">
    <w:name w:val="Table Classic 1"/>
    <w:basedOn w:val="Normaltabell"/>
    <w:rsid w:val="00EC549C"/>
    <w:pPr>
      <w:overflowPunct w:val="0"/>
      <w:autoSpaceDE w:val="0"/>
      <w:autoSpaceDN w:val="0"/>
      <w:adjustRightInd w:val="0"/>
      <w:spacing w:line="32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rsid w:val="00A3285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32854"/>
    <w:rPr>
      <w:rFonts w:ascii="Tahoma" w:hAnsi="Tahoma" w:cs="Tahoma"/>
      <w:sz w:val="16"/>
      <w:szCs w:val="16"/>
      <w:lang w:eastAsia="en-US"/>
    </w:rPr>
  </w:style>
  <w:style w:type="table" w:styleId="Moderntabell">
    <w:name w:val="Table Contemporary"/>
    <w:basedOn w:val="Normaltabell"/>
    <w:rsid w:val="00083128"/>
    <w:pPr>
      <w:overflowPunct w:val="0"/>
      <w:autoSpaceDE w:val="0"/>
      <w:autoSpaceDN w:val="0"/>
      <w:adjustRightInd w:val="0"/>
      <w:spacing w:line="32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Kommentarsreferens">
    <w:name w:val="annotation reference"/>
    <w:basedOn w:val="Standardstycketeckensnitt"/>
    <w:rsid w:val="000C79C9"/>
    <w:rPr>
      <w:sz w:val="16"/>
      <w:szCs w:val="16"/>
    </w:rPr>
  </w:style>
  <w:style w:type="paragraph" w:styleId="Kommentarer">
    <w:name w:val="annotation text"/>
    <w:basedOn w:val="Normal"/>
    <w:link w:val="KommentarerChar"/>
    <w:rsid w:val="000C79C9"/>
    <w:pPr>
      <w:spacing w:line="240" w:lineRule="auto"/>
    </w:pPr>
    <w:rPr>
      <w:sz w:val="20"/>
    </w:rPr>
  </w:style>
  <w:style w:type="character" w:customStyle="1" w:styleId="KommentarerChar">
    <w:name w:val="Kommentarer Char"/>
    <w:basedOn w:val="Standardstycketeckensnitt"/>
    <w:link w:val="Kommentarer"/>
    <w:rsid w:val="000C79C9"/>
    <w:rPr>
      <w:rFonts w:ascii="OrigGarmnd BT" w:hAnsi="OrigGarmnd BT"/>
      <w:lang w:eastAsia="en-US"/>
    </w:rPr>
  </w:style>
  <w:style w:type="paragraph" w:styleId="Kommentarsmne">
    <w:name w:val="annotation subject"/>
    <w:basedOn w:val="Kommentarer"/>
    <w:next w:val="Kommentarer"/>
    <w:link w:val="KommentarsmneChar"/>
    <w:rsid w:val="000C79C9"/>
    <w:rPr>
      <w:b/>
      <w:bCs/>
    </w:rPr>
  </w:style>
  <w:style w:type="character" w:customStyle="1" w:styleId="KommentarsmneChar">
    <w:name w:val="Kommentarsämne Char"/>
    <w:basedOn w:val="KommentarerChar"/>
    <w:link w:val="Kommentarsmne"/>
    <w:rsid w:val="000C79C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9579">
      <w:bodyDiv w:val="1"/>
      <w:marLeft w:val="0"/>
      <w:marRight w:val="0"/>
      <w:marTop w:val="0"/>
      <w:marBottom w:val="0"/>
      <w:divBdr>
        <w:top w:val="none" w:sz="0" w:space="0" w:color="auto"/>
        <w:left w:val="none" w:sz="0" w:space="0" w:color="auto"/>
        <w:bottom w:val="none" w:sz="0" w:space="0" w:color="auto"/>
        <w:right w:val="none" w:sz="0" w:space="0" w:color="auto"/>
      </w:divBdr>
    </w:div>
    <w:div w:id="1246379813">
      <w:bodyDiv w:val="1"/>
      <w:marLeft w:val="0"/>
      <w:marRight w:val="0"/>
      <w:marTop w:val="0"/>
      <w:marBottom w:val="0"/>
      <w:divBdr>
        <w:top w:val="none" w:sz="0" w:space="0" w:color="auto"/>
        <w:left w:val="none" w:sz="0" w:space="0" w:color="auto"/>
        <w:bottom w:val="none" w:sz="0" w:space="0" w:color="auto"/>
        <w:right w:val="none" w:sz="0" w:space="0" w:color="auto"/>
      </w:divBdr>
    </w:div>
    <w:div w:id="17485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877d635f-9b91-4318-9a30-30bf28c922b2">
      <Terms xmlns="http://schemas.microsoft.com/office/infopath/2007/PartnerControls"/>
    </k46d94c0acf84ab9a79866a9d8b1905f>
    <Nyckelord xmlns="877d635f-9b91-4318-9a30-30bf28c922b2" xsi:nil="true"/>
    <Diarienummer xmlns="877d635f-9b91-4318-9a30-30bf28c922b2" xsi:nil="true"/>
    <Sekretess xmlns="877d635f-9b91-4318-9a30-30bf28c922b2" xsi:nil="true"/>
    <c9cd366cc722410295b9eacffbd73909 xmlns="877d635f-9b91-4318-9a30-30bf28c922b2">
      <Terms xmlns="http://schemas.microsoft.com/office/infopath/2007/PartnerControls"/>
    </c9cd366cc722410295b9eacffbd73909>
    <TaxCatchAll xmlns="877d635f-9b91-4318-9a30-30bf28c922b2"/>
    <_dlc_DocId xmlns="877d635f-9b91-4318-9a30-30bf28c922b2">FRC5JTHSKSRT-50-11484</_dlc_DocId>
    <_dlc_DocIdUrl xmlns="877d635f-9b91-4318-9a30-30bf28c922b2">
      <Url>http://rkdhs-m/enhet/Ee/_layouts/DocIdRedir.aspx?ID=FRC5JTHSKSRT-50-11484</Url>
      <Description>FRC5JTHSKSRT-50-11484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7E8A274F58ABE4EA4C8A615F17C5DAF" ma:contentTypeVersion="10" ma:contentTypeDescription="Skapa ett nytt dokument." ma:contentTypeScope="" ma:versionID="e5d2837de93eebac2776b251bc8ea0a0">
  <xsd:schema xmlns:xsd="http://www.w3.org/2001/XMLSchema" xmlns:xs="http://www.w3.org/2001/XMLSchema" xmlns:p="http://schemas.microsoft.com/office/2006/metadata/properties" xmlns:ns2="877d635f-9b91-4318-9a30-30bf28c922b2" targetNamespace="http://schemas.microsoft.com/office/2006/metadata/properties" ma:root="true" ma:fieldsID="4e0f0414a2d042808e6d26101d10cdcf" ns2:_="">
    <xsd:import namespace="877d635f-9b91-4318-9a30-30bf28c922b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089780ee-9388-4768-b2b9-786292594f5a}" ma:internalName="TaxCatchAll" ma:showField="CatchAllData" ma:web="f0e89897-1919-4cfc-8f27-e2bf38cbfb0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089780ee-9388-4768-b2b9-786292594f5a}" ma:internalName="TaxCatchAllLabel" ma:readOnly="true" ma:showField="CatchAllDataLabel" ma:web="f0e89897-1919-4cfc-8f27-e2bf38cbfb0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2D4F-C525-4291-A11F-F9F0CF53DFFB}">
  <ds:schemaRefs>
    <ds:schemaRef ds:uri="http://purl.org/dc/elements/1.1/"/>
    <ds:schemaRef ds:uri="http://schemas.microsoft.com/office/2006/documentManagement/types"/>
    <ds:schemaRef ds:uri="http://purl.org/dc/terms/"/>
    <ds:schemaRef ds:uri="877d635f-9b91-4318-9a30-30bf28c922b2"/>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8C773AD-775F-4D15-895B-212C47467994}">
  <ds:schemaRefs>
    <ds:schemaRef ds:uri="http://schemas.microsoft.com/sharepoint/events"/>
  </ds:schemaRefs>
</ds:datastoreItem>
</file>

<file path=customXml/itemProps3.xml><?xml version="1.0" encoding="utf-8"?>
<ds:datastoreItem xmlns:ds="http://schemas.openxmlformats.org/officeDocument/2006/customXml" ds:itemID="{A7350027-3E94-43CE-AAD6-C741719DD3C6}">
  <ds:schemaRefs>
    <ds:schemaRef ds:uri="http://schemas.microsoft.com/office/2006/metadata/customXsn"/>
  </ds:schemaRefs>
</ds:datastoreItem>
</file>

<file path=customXml/itemProps4.xml><?xml version="1.0" encoding="utf-8"?>
<ds:datastoreItem xmlns:ds="http://schemas.openxmlformats.org/officeDocument/2006/customXml" ds:itemID="{471EEF17-9CA2-4FAA-8C02-C4B3F5D1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635f-9b91-4318-9a30-30bf28c9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0EC567-17DB-4AFB-9EFF-7911683BD315}">
  <ds:schemaRefs>
    <ds:schemaRef ds:uri="http://schemas.microsoft.com/sharepoint/v3/contenttype/forms"/>
  </ds:schemaRefs>
</ds:datastoreItem>
</file>

<file path=customXml/itemProps6.xml><?xml version="1.0" encoding="utf-8"?>
<ds:datastoreItem xmlns:ds="http://schemas.openxmlformats.org/officeDocument/2006/customXml" ds:itemID="{187B32F1-44EB-41C2-BB33-A83B2189A604}">
  <ds:schemaRefs>
    <ds:schemaRef ds:uri="http://schemas.microsoft.com/sharepoint/v3/contenttype/forms/url"/>
  </ds:schemaRefs>
</ds:datastoreItem>
</file>

<file path=customXml/itemProps7.xml><?xml version="1.0" encoding="utf-8"?>
<ds:datastoreItem xmlns:ds="http://schemas.openxmlformats.org/officeDocument/2006/customXml" ds:itemID="{BBC61C3B-1853-414B-B9C0-0EC2A922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12832</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Effektreserven</vt:lpstr>
    </vt:vector>
  </TitlesOfParts>
  <Company>Regeringskansliet</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Effektreserven</dc:title>
  <dc:creator>Joakim Cejie</dc:creator>
  <cp:lastModifiedBy>Joakim Cejie</cp:lastModifiedBy>
  <cp:revision>3</cp:revision>
  <cp:lastPrinted>2015-11-25T09:02:00Z</cp:lastPrinted>
  <dcterms:created xsi:type="dcterms:W3CDTF">2016-02-08T08:26:00Z</dcterms:created>
  <dcterms:modified xsi:type="dcterms:W3CDTF">2016-02-08T14:48:00Z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0x01010053E1D612BA3F4E21AA250ECD751942B30027E8A274F58ABE4EA4C8A615F17C5DAF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78249968-182c-4e74-ba64-6cada05ce8bd</vt:lpwstr>
  </property>
</Properties>
</file>